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ind w:firstLine="720" w:left="0" w:right="0"/>
        <w:jc w:val="center"/>
        <w:rPr>
          <w:rFonts w:ascii="Times New Roman" w:hAnsi="Times New Roman"/>
          <w:b w:val="false"/>
          <w:i w:val="false"/>
          <w:i w:val="false"/>
          <w:caps w:val="false"/>
          <w:smallCaps w:val="false"/>
          <w:color w:val="000000"/>
          <w:spacing w:val="0"/>
          <w:sz w:val="28"/>
          <w:szCs w:val="26"/>
        </w:rPr>
      </w:pPr>
      <w:r>
        <w:rPr>
          <w:rFonts w:ascii="Times New Roman" w:hAnsi="Times New Roman"/>
          <w:b w:val="false"/>
          <w:i w:val="false"/>
          <w:caps w:val="false"/>
          <w:smallCaps w:val="false"/>
          <w:color w:val="000000"/>
          <w:spacing w:val="0"/>
          <w:sz w:val="26"/>
          <w:szCs w:val="26"/>
        </w:rPr>
        <w:t>Решение по гражданскому делу</w:t>
      </w:r>
    </w:p>
    <w:p>
      <w:pPr>
        <w:sectPr>
          <w:type w:val="nextPage"/>
          <w:pgSz w:w="11906" w:h="16838"/>
          <w:pgMar w:left="1134" w:right="1134" w:gutter="0" w:header="0" w:top="1134" w:footer="0" w:bottom="1134"/>
          <w:pgNumType w:fmt="decimal"/>
          <w:formProt w:val="false"/>
          <w:textDirection w:val="lrTb"/>
          <w:docGrid w:type="default" w:linePitch="600" w:charSpace="32768"/>
        </w:sectPr>
      </w:pPr>
    </w:p>
    <w:p>
      <w:pPr>
        <w:pStyle w:val="Normal"/>
        <w:ind w:hanging="0" w:left="0" w:right="0"/>
        <w:rPr/>
      </w:pPr>
      <w:r>
        <w:rPr/>
      </w:r>
    </w:p>
    <w:p>
      <w:pPr>
        <w:sectPr>
          <w:type w:val="continuous"/>
          <w:pgSz w:w="11906" w:h="16838"/>
          <w:pgMar w:left="1134" w:right="1134" w:gutter="0" w:header="0" w:top="1134" w:footer="0" w:bottom="1134"/>
          <w:formProt w:val="false"/>
          <w:textDirection w:val="lrTb"/>
          <w:docGrid w:type="default" w:linePitch="600" w:charSpace="32768"/>
        </w:sectPr>
      </w:pPr>
    </w:p>
    <w:p>
      <w:pPr>
        <w:pStyle w:val="Normal"/>
        <w:widowControl/>
        <w:ind w:hanging="0" w:left="0" w:right="0"/>
        <w:jc w:val="right"/>
        <w:rPr>
          <w:rStyle w:val="Hyperlink"/>
        </w:rPr>
      </w:pPr>
      <w:hyperlink r:id="rId2">
        <w:r>
          <w:rPr/>
        </w:r>
      </w:hyperlink>
    </w:p>
    <w:p>
      <w:pPr>
        <w:pStyle w:val="Normal"/>
        <w:spacing w:before="0" w:after="0"/>
        <w:ind w:hanging="0" w:left="0" w:right="0"/>
        <w:rPr>
          <w:sz w:val="4"/>
          <w:szCs w:val="4"/>
        </w:rPr>
      </w:pPr>
      <w:r>
        <w:rPr>
          <w:sz w:val="4"/>
          <w:szCs w:val="4"/>
        </w:rPr>
      </w:r>
      <w:bookmarkStart w:id="0" w:name="tablcont"/>
      <w:bookmarkStart w:id="1" w:name="tablcont"/>
      <w:bookmarkEnd w:id="1"/>
    </w:p>
    <w:tbl>
      <w:tblPr>
        <w:tblW w:w="5844" w:type="dxa"/>
        <w:jc w:val="center"/>
        <w:tblInd w:w="0" w:type="dxa"/>
        <w:tblLayout w:type="fixed"/>
        <w:tblCellMar>
          <w:top w:w="30" w:type="dxa"/>
          <w:left w:w="30" w:type="dxa"/>
          <w:bottom w:w="30" w:type="dxa"/>
          <w:right w:w="30" w:type="dxa"/>
        </w:tblCellMar>
      </w:tblPr>
      <w:tblGrid>
        <w:gridCol w:w="1795"/>
        <w:gridCol w:w="83"/>
        <w:gridCol w:w="3966"/>
      </w:tblGrid>
      <w:tr>
        <w:trPr/>
        <w:tc>
          <w:tcPr>
            <w:tcW w:w="1795" w:type="dxa"/>
            <w:tcBorders/>
            <w:vAlign w:val="center"/>
          </w:tcPr>
          <w:p>
            <w:pPr>
              <w:pStyle w:val="user2"/>
              <w:rPr>
                <w:sz w:val="4"/>
                <w:szCs w:val="4"/>
              </w:rPr>
            </w:pPr>
            <w:r>
              <w:rPr>
                <w:sz w:val="4"/>
                <w:szCs w:val="4"/>
              </w:rPr>
            </w:r>
          </w:p>
        </w:tc>
        <w:tc>
          <w:tcPr>
            <w:tcW w:w="83" w:type="dxa"/>
            <w:tcBorders/>
            <w:vAlign w:val="center"/>
          </w:tcPr>
          <w:p>
            <w:pPr>
              <w:pStyle w:val="user2"/>
              <w:rPr>
                <w:sz w:val="4"/>
                <w:szCs w:val="4"/>
              </w:rPr>
            </w:pPr>
            <w:r>
              <w:rPr>
                <w:sz w:val="4"/>
                <w:szCs w:val="4"/>
              </w:rPr>
            </w:r>
          </w:p>
        </w:tc>
        <w:tc>
          <w:tcPr>
            <w:tcW w:w="3966" w:type="dxa"/>
            <w:tcBorders/>
            <w:vAlign w:val="center"/>
          </w:tcPr>
          <w:p>
            <w:pPr>
              <w:pStyle w:val="user2"/>
              <w:rPr/>
            </w:pPr>
            <w:r>
              <w:rPr/>
              <w:t>Дело № 2-245/2026</w:t>
            </w:r>
          </w:p>
        </w:tc>
      </w:tr>
      <w:tr>
        <w:trPr/>
        <w:tc>
          <w:tcPr>
            <w:tcW w:w="1795" w:type="dxa"/>
            <w:tcBorders/>
            <w:vAlign w:val="center"/>
          </w:tcPr>
          <w:p>
            <w:pPr>
              <w:pStyle w:val="user2"/>
              <w:rPr>
                <w:sz w:val="4"/>
                <w:szCs w:val="4"/>
              </w:rPr>
            </w:pPr>
            <w:r>
              <w:rPr>
                <w:sz w:val="4"/>
                <w:szCs w:val="4"/>
              </w:rPr>
            </w:r>
          </w:p>
        </w:tc>
        <w:tc>
          <w:tcPr>
            <w:tcW w:w="83" w:type="dxa"/>
            <w:tcBorders/>
            <w:vAlign w:val="center"/>
          </w:tcPr>
          <w:p>
            <w:pPr>
              <w:pStyle w:val="user2"/>
              <w:rPr>
                <w:sz w:val="4"/>
                <w:szCs w:val="4"/>
              </w:rPr>
            </w:pPr>
            <w:r>
              <w:rPr>
                <w:sz w:val="4"/>
                <w:szCs w:val="4"/>
              </w:rPr>
            </w:r>
          </w:p>
        </w:tc>
        <w:tc>
          <w:tcPr>
            <w:tcW w:w="3966" w:type="dxa"/>
            <w:tcBorders/>
            <w:vAlign w:val="center"/>
          </w:tcPr>
          <w:p>
            <w:pPr>
              <w:pStyle w:val="user2"/>
              <w:rPr/>
            </w:pPr>
            <w:r>
              <w:rPr/>
              <w:t>УИД № 48RS0015-01-2026-000252-30</w:t>
            </w:r>
          </w:p>
        </w:tc>
      </w:tr>
      <w:tr>
        <w:trPr/>
        <w:tc>
          <w:tcPr>
            <w:tcW w:w="1795" w:type="dxa"/>
            <w:tcBorders/>
            <w:vAlign w:val="center"/>
          </w:tcPr>
          <w:p>
            <w:pPr>
              <w:pStyle w:val="user2"/>
              <w:rPr>
                <w:sz w:val="4"/>
                <w:szCs w:val="4"/>
              </w:rPr>
            </w:pPr>
            <w:r>
              <w:rPr>
                <w:sz w:val="4"/>
                <w:szCs w:val="4"/>
              </w:rPr>
            </w:r>
          </w:p>
        </w:tc>
        <w:tc>
          <w:tcPr>
            <w:tcW w:w="4049" w:type="dxa"/>
            <w:gridSpan w:val="2"/>
            <w:tcBorders/>
            <w:vAlign w:val="center"/>
          </w:tcPr>
          <w:p>
            <w:pPr>
              <w:pStyle w:val="user2"/>
              <w:rPr>
                <w:sz w:val="4"/>
                <w:szCs w:val="4"/>
              </w:rPr>
            </w:pPr>
            <w:r>
              <w:rPr>
                <w:sz w:val="4"/>
                <w:szCs w:val="4"/>
              </w:rPr>
            </w:r>
          </w:p>
        </w:tc>
      </w:tr>
      <w:tr>
        <w:trPr/>
        <w:tc>
          <w:tcPr>
            <w:tcW w:w="5844" w:type="dxa"/>
            <w:gridSpan w:val="3"/>
            <w:tcBorders/>
            <w:vAlign w:val="center"/>
          </w:tcPr>
          <w:p>
            <w:pPr>
              <w:pStyle w:val="user2"/>
              <w:rPr/>
            </w:pPr>
            <w:r>
              <w:rPr/>
              <w:t>РЕШЕНИЕ</w:t>
            </w:r>
          </w:p>
        </w:tc>
      </w:tr>
      <w:tr>
        <w:trPr/>
        <w:tc>
          <w:tcPr>
            <w:tcW w:w="5844" w:type="dxa"/>
            <w:gridSpan w:val="3"/>
            <w:tcBorders/>
            <w:vAlign w:val="center"/>
          </w:tcPr>
          <w:p>
            <w:pPr>
              <w:pStyle w:val="user2"/>
              <w:rPr/>
            </w:pPr>
            <w:r>
              <w:rPr/>
              <w:t>Именем Российской Федерации</w:t>
            </w:r>
          </w:p>
        </w:tc>
      </w:tr>
      <w:tr>
        <w:trPr/>
        <w:tc>
          <w:tcPr>
            <w:tcW w:w="1795" w:type="dxa"/>
            <w:tcBorders/>
            <w:vAlign w:val="center"/>
          </w:tcPr>
          <w:p>
            <w:pPr>
              <w:pStyle w:val="user2"/>
              <w:rPr>
                <w:sz w:val="4"/>
                <w:szCs w:val="4"/>
              </w:rPr>
            </w:pPr>
            <w:r>
              <w:rPr>
                <w:sz w:val="4"/>
                <w:szCs w:val="4"/>
              </w:rPr>
            </w:r>
          </w:p>
        </w:tc>
        <w:tc>
          <w:tcPr>
            <w:tcW w:w="4049" w:type="dxa"/>
            <w:gridSpan w:val="2"/>
            <w:tcBorders/>
            <w:vAlign w:val="center"/>
          </w:tcPr>
          <w:p>
            <w:pPr>
              <w:pStyle w:val="user2"/>
              <w:rPr>
                <w:sz w:val="4"/>
                <w:szCs w:val="4"/>
              </w:rPr>
            </w:pPr>
            <w:r>
              <w:rPr>
                <w:sz w:val="4"/>
                <w:szCs w:val="4"/>
              </w:rPr>
            </w:r>
          </w:p>
        </w:tc>
      </w:tr>
      <w:tr>
        <w:trPr/>
        <w:tc>
          <w:tcPr>
            <w:tcW w:w="1795" w:type="dxa"/>
            <w:tcBorders/>
            <w:vAlign w:val="center"/>
          </w:tcPr>
          <w:p>
            <w:pPr>
              <w:pStyle w:val="user2"/>
              <w:rPr/>
            </w:pPr>
            <w:r>
              <w:rPr/>
              <w:t>13 мая 2026 года</w:t>
            </w:r>
          </w:p>
        </w:tc>
        <w:tc>
          <w:tcPr>
            <w:tcW w:w="4049" w:type="dxa"/>
            <w:gridSpan w:val="2"/>
            <w:tcBorders/>
            <w:vAlign w:val="center"/>
          </w:tcPr>
          <w:p>
            <w:pPr>
              <w:pStyle w:val="user2"/>
              <w:rPr/>
            </w:pPr>
            <w:r>
              <w:rPr/>
              <w:t>город Лебедянь Липецкая область</w:t>
            </w:r>
          </w:p>
        </w:tc>
      </w:tr>
      <w:tr>
        <w:trPr/>
        <w:tc>
          <w:tcPr>
            <w:tcW w:w="1795" w:type="dxa"/>
            <w:tcBorders/>
            <w:vAlign w:val="center"/>
          </w:tcPr>
          <w:p>
            <w:pPr>
              <w:pStyle w:val="user2"/>
              <w:rPr>
                <w:sz w:val="4"/>
                <w:szCs w:val="4"/>
              </w:rPr>
            </w:pPr>
            <w:r>
              <w:rPr>
                <w:sz w:val="4"/>
                <w:szCs w:val="4"/>
              </w:rPr>
            </w:r>
          </w:p>
        </w:tc>
        <w:tc>
          <w:tcPr>
            <w:tcW w:w="4049" w:type="dxa"/>
            <w:gridSpan w:val="2"/>
            <w:tcBorders/>
            <w:vAlign w:val="center"/>
          </w:tcPr>
          <w:p>
            <w:pPr>
              <w:pStyle w:val="user2"/>
              <w:rPr>
                <w:sz w:val="4"/>
                <w:szCs w:val="4"/>
              </w:rPr>
            </w:pPr>
            <w:r>
              <w:rPr>
                <w:sz w:val="4"/>
                <w:szCs w:val="4"/>
              </w:rPr>
            </w:r>
          </w:p>
        </w:tc>
      </w:tr>
    </w:tbl>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Лебедянский районный суд Липецкой области в составе</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председательствующего судьи Ростовой Н.В.,</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при секретаре Хвостуновой Е.Г.,</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рассмотрев в открытом судебном заседании в городе Лебедяни гражданское дело по иску Управления Федеральной службы по надзору в сфере защиты прав потребителей и благополучия человека по Липецкой области к индивидуальному предпринимателю  о признании противоправными действий по розничной продаже молочной продукции и их прекращении,</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УСТАНОВИЛ:</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Управление Федеральной службы по надзору в сфере защиты прав потребителей и благополучия человека по Липецкой области обратилось в суд с иском к ИП о признании противоправными действия ИП с 24.11.2025 по 09.01.2026, выразившиеся в несоблюдении обязательных требований к маркировке товаров средствами идентификации в ГИС МТ «Честный знак», а именно: реализации (продажа) маркированного товара без проверки кода маркировки; обязании прекратить противоправные действия в отношении неопределённого круга лиц путём проверки кодов маркировки перед заключением договоров розничной купли-продажи молочной продукции; и обязании в месте осуществления торговой деятельности довести решение суда до сведения потребителей путём размещения в течение месяца со дня вступления решения суда в законную силу в доступном для потребителей месте.</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Заявленные требования мотивирует тем, что индивидуальный предприниматель (ИНН № согласно выписке из ЕГРИП осуществляет деятельность с 29.07.2019, код ОКВЭД 47.11 – торговля розничная преимущественно пищевыми продуктами, включая напитки, и табачными изделиями в неспециализированных магазинах, и осуществляет реализацию продовольственной группы товаров на территории Липецкой области, и является участником оборота молочной продукции и имеет регистрацию в ГИС МТ «Честный Знак», подлежащих обязательной маркировке средствами идентификации, то есть при осуществлении экономической деятельности по ОКВЭД 47.11 ИП, оказывает услуги розничной торговли неопределённому кругу лиц, являющимися потребителями товаров, т.е. неопределённому кругу граждан – потребителей.</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В отношении ИП на основании Положения о федеральном государственном контроле (надзоре) в области защиты прав потребителей, утверждённого Постановлением Правительства РФ от 25.06.2021 № 1005, в соответствии со ст. 74 Федерального закона от 31.07.2020 № 248-ФЗ «О государственном контроле (надзоре) и муниципальном контроле в Российской Федерации» были проведены мероприятия без взаимодействия с контролируемым лицом в виде наблюдения за соблюдением обязательных требований (мониторинг безопасности) - сбор и анализ данных, содержащихся в информационно-телекоммуникационной сети «Интернет» на сайте ГИС МТ «Честный Знак» по адресу https://gov.crpt.ru/.</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В ходе проведения мероприятий были выявлены неоднократные нарушения Федерального закона от 28.12.2009 № 381-ФЗ «Об основах государственного регулирования торговой деятельности в Российской Федерации», Постановления Правительства РФ от 26.04.2019 № 515 «О системе маркировки товаров средствами идентификации и прослеживаемости движения товаров», Постановления Правительства РФ от 21.11.2023 № 1944 «Об утверждении перечня случаев, при которых продажа товаров, подлежащих обязательной маркировке средствами идентификации, запрещена на основании информации, содержащейся в государственной информационной системе мониторинга за оборотом товаров, подлежащих обязательной маркировке средствами идентификации, или отсутствия в указанной государственной информационной системе необходимой информации о таких товарах, и особенностей внедрения указанного запрета в отношении отдельных товаров, а также Правил применения запрета продажи товаров, подлежащих обязательной маркировке средствами идентификации, на основании информации, содержащейся в государственной информационной системе мониторинга за оборотом товаров, подлежащих обязательной маркировке средствами идентификации, или отсутствия в указанной государственной информационной системе необходимой информации, в том числе правил получения информации из указанной государственной информационной системы».</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Так, согласно акту наблюдения за соблюдением обязательных требований (мониторинг безопасности) от 25.12.2025 ИП  в период с 24.11.2025 по 23.12.2025 было зафиксировано 44 отклонений, связанные с продажей товара с кодом проверки, который не соответствует характеристикам средства идентификации, в том числе структуре и формату, установленным правилами маркировки молочной продукции средствами идентификации, утверждёнными постановлением Правительства РФ от 15.12.2020 № 2099 «Об утверждении Правил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молочной продукции».</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В связи с нарушением обязательных требований Территориальным отделом было выдано предостережение о недопустимости нарушения обязательных требований и принятию мер по обеспечению соблюдения обязательных требований № 124 от 25.12.2025.</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Согласно акту наблюдения за соблюдением обязательных требований (мониторинг безопасности) от 20.03.2026 № 60 ИП в период с 24.12.2025 по 09.01.2026 было зафиксировано 3 отклонения, связанные с продажей товара, который не соответствует характеристикам средства идентификации, в том числе структуре и формату, установленным правилами маркировки молочной продукции средствами идентификации, утверждёнными постановлением Правительства РФ от 15.12.2020 № 2099 «Об утверждении Правил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молочной продукции».</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В связи с нарушением обязательных требований Территориальным отделом было выдано предостережение о недопустимости нарушения обязательных требований и принятию мер по обеспечению соблюдения обязательных требований № 51 от 20.03.2026.</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Предостережения были направлены электронной почтой ИП, и получены адресатом, возражения на них в порядке, установленном п. 17 Положения о федеральном государственном контроле (надзоре) в области защиты прав потребителей, утверждённого постановлением Правительства РФ от 25.06.2021 № 1005, не поступали.</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Фактически, в действиях ИП в ГИС МТ «Честный знак» систематически выявляет отклонения.</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Все отклонения, фиксируемые ГИС МТ «Честный знак», свидетельствуют о нарушении Федерального закона от 28.12.2009 № 381-ФЗ «Об основах государственного регулирования торговой деятельности в Российской Федерации», Постановления Правительства РФ от 21.11.2023 № 1944 «Об утверждении перечня случаев, при которых продажа товаров, подлежащих обязательной маркировке средствами идентификации, запрещена на основании информации, содержащейся в государственной информационной системе мониторинга за оборотом товаров, подлежащих обязательной маркировке средствами идентификации, или отсутствия в указанной государственной информационной системе необходимой информации о таких товарах, и особенностей внедрения указанного запрета в отношении отдельных товаров, а также Правил применения запрета продажи товаров, подлежащих обязательной маркировке средствами идентификации, на основании информации, содержащейся в государственной информационной системе мониторинга за оборотом товаров, подлежащих обязательной маркировке средствами идентификации, или отсутствия в указанной государственной информационной системе необходимой информации, в том числе правил получения информации из указанной государственной информационной системы» и Постановления Правительства РФ от 26.04.2019 № 515 «О системе маркировки товаров средствами идентификации и прослеживаемости движения товаров», выразившимся продаже на кассе маркированных товаров, у которых есть проблемы с кодами Data Matrix.</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С целью обеспечения законного оборота товаров и пресечения незаконной деятельности по реализации табачной продукции, а также недопущения создания угрозы нарушения прав неопределённого круга потребителей просит в судебном порядке признать противоправными действия ИП  с 24.11.2025 по 09.01.2026, выразившиеся в несоблюдении обязательных требований к маркировке товаров средствами идентификации в ГИС МТ «Честный знак», а именно: реализации (продажа) маркированного товара без проверки кода маркировки; обязать прекратить противоправные действия в отношении неопределённого круга лиц путём проверки кодов маркировки перед заключением договоров розничной купли-продажи молочной продукции; и обязать в месте осуществления торговой деятельности довести решение суда до сведения потребителей путём размещения в течение месяца со дня вступления решения суда в законную силу в доступном для потребителей месте.</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В судебное заседание представитель истца Управления Федеральной службы по надзору в сфере защиты прав потребителей и благополучия человека по Липецкой области, будучи надлежащим образом извещённый о дате, времени и месте судебного разбирательства, не явился. В адресованном суду письменном заявлении представитель Управления Федеральной службы по надзору в сфере защиты прав потребителей и благополучия человека по Липецкой области по доверенности просит рассмотреть дело в её отсутствие, исковые требования поддерживает в полном объёме.</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В судебное заседание ответчик ИП  не возражала против удовлетворения исковых требованикй.</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В соответствии с требованиями ст. 167 ГПК РФ, суд считает возможным рассмотреть дело в отсутствие не явившихся в судебное заседание сторон.</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Исследовав письменные материалы дела, суд приходит к следующему.</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Согласно Положению о Федеральной службе по надзору в сфере защиты прав потребителей и благополучия человека, утверждённого Постановлением Правительства РФ № 322 от 30.06.2004, Федеральная служба по надзору в сфере защиты прав потребителей и благополучия человека (Роспотребнадзор) является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и федерального государственного надзора в области защиты прав потребителей.</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В силу п. 7. ст. 40 Закона РФ «О защите прав потребителей», п. 1. ст. 46 ГПК РФ и п. 8.40 «Положения об Управлении Федеральной службы по надзору в сфере защиты прав потребителей и благополучия человека по Липецкой области», утверждённого Приказом Федеральной службы по надзору в сфере защиты прав потребителей и благополучия человека № 729 от 10.07.2012. Управление Роспотребнадзора вправе обращаться в суд с заявлениями в защиту прав потребителей, законных интересов неопределённого круга потребителей.</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Честный знак – национальная система маркировки и прослеживания товаров, подразумевающая прозрачность всех процессов (от производства и логистики до отслеживания продаж).</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Маркировка представляет собой нанесение кода Data Matrix, уникального для каждой единицы товара и внесение информации о товаре и коде в базу данных.</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Data Matrix – это двумерный матричный штрихкод, который используется для маркировки товаров. Он представляет собой квадрат или прямоугольник, заполненный черными и белыми элементами (модулями), расположенными в регулярной матрице.</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В России Data Matrix – основной код для обязательной маркировки товаров в системе «Честный знак» с 2019 года. Он наносится на каждую единицу продукции и содержит уникальный идентификатор, который позволяет отследить движение товара от производителя или импортёра до конечного покупателя. Защита от подделок. Код защищён криптографической подписью (криптохвостом), что исключает возможность подделки и обеспечивает подлинность товара при проверке. В коде может быть зашифрована информация о производителе, сроке годности, характеристиках товара, а также другие данные (номер партии и серии).</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Потребители могут сканировать код с помощью мобильного приложения, чтобы проверить подлинность продукции, получить информацию о производителе, сроке годности и других параметрах.</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Маркировка обязательна для широкого перечня товарных категорий и её соблюдение регулируется законодательством. Производители и импортёры получают коды через операторов государственной системы и передают данные о движении товаров в информационную систему маркировки и прослеживаемости.</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Разрешительный режим – специальный режим работы кассы, при котором происходит автоматическая проверка кода маркировки. Это особый порядок для продажи некоторых маркированных товаров. Касса в таком режиме запрашивает в государственной информационной системе мониторинга за оборотом товаров сведения о коде маркировке и по результатам проверки может разрешить или заблокировать продажу.</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Судом установлено и следует из выписки из Единого государственного реестра индивидуальных предпринимателей от 27.03.2026, что индивидуальный предприниматель (ИНН №), согласно выписке из ЕГРИП осуществляет деятельность с 29.07.2019, код ОКВЭД 47.11 – торговля розничная преимущественно пищевыми продуктами включая напитки, и табачными изделиями в неспециализированных магазинах и осуществляет реализацию продовольственной группы товаров на территории Липецкой области, и является участником оборота молочной продукции и имеет регистрацию в ГИС МТ «Честный Знак», подлежащих обязательной маркировке средствами идентификации, то есть при осуществлении экономической деятельности по ОКВЭД 47.11 ИП, оказывает услуги розничной торговли неопределённому кругу лиц, являющимися потребителями товаров, т.е. неопределённому кругу граждан – потребителей.</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На основании Положения о федеральном государственном контроле (надзоре) в области защиты прав потребителей, утверждённого Постановлением Правительства РФ от 25.06.2021 № 1005, в соответствии со ст. 74 Федерального закона от 31.07.2020 № 248-ФЗ «О государственном контроле (надзоре) и муниципальном контроле в Российской Федерации» в отношении ИП были проведены мероприятия без взаимодействия с контролируемым лицом в виде наблюдения за соблюдением обязательных требований (мониторинг безопасности) - сбор и анализ данных, содержащихся в информационно-телекоммуникационной сети «Интернет» на сайте ГИС МТ «Честный Знак» по адресу https://gov.crpt.ru/, в ходе которых выявлены неоднократные нарушения Федерального закона от 28.12.2009 № 381-ФЗ «Об основах государственного регулирования торговой деятельности в Российской Федерации», Постановления Правительства РФ от 26.04.2019 № 515 «О системе маркировки товаров средствами идентификации и прослеживаемости движения товаров», Постановления Правительства РФ от 21.11.2023 № 1944 «Об утверждении перечня случаев, при которых продажа товаров, подлежащих обязательной маркировке средствами идентификации, запрещена на основании информации, содержащейся в государственной информационной системе мониторинга за оборотом товаров, подлежащих обязательной маркировке средствами идентификации, или отсутствия в указанной государственной информационной системе необходимой информации о таких товарах, и особенностей внедрения указанного запрета в отношении отдельных товаров, а также Правил применения запрета продажи товаров, подлежащих обязательной маркировке средствами идентификации, на основании информации, содержащейся в государственной информационной системе мониторинга за оборотом товаров, подлежащих обязательной маркировке средствами идентификации, или отсутствия в указанной государственной информационной системе необходимой информации, в том числе правил получения информации из указанной государственной информационной системы».</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Так, согласно акту наблюдения за соблюдением обязательных требований (мониторинг безопасности) от 25.12.2025 ИП в период с 24.11.2025 по 23.12.2025 было зафиксировано 44 отклонений, связанные с продажей товара с кодом проверки, который не соответствует характеристикам средства идентификации, в том числе структуре и формату, установленным правилами маркировки молочной продукции средствами идентификации, утверждёнными постановлением Правительства РФ от 15.12.2020 № 2099 «Об утверждении Правил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молочной продукции».</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Указанное обстоятельство достоверно подтверждается имеющимся в материалах дела скриншотом сайта государственной информационной системы мониторинга за оборотом товаров.</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В связи с нарушением обязательных требований Территориальным отделом было выдано предостережение о недопустимости нарушения обязательных требований и принятию мер по обеспечению соблюдения обязательных требований № 124 от 25.12.2025.</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Согласно акту наблюдения за соблюдением обязательных требований (мониторинг безопасности) от 20.03.2026 № 60 ИП в период с 24.12.2025 по 09.01.2026 было зафиксировано 3 отклонения, связанные с продажей товара, который не соответствует характеристикам средства идентификации, в том числе структуре и формату, установленным правилами маркировки молочной продукции средствами идентификации, утверждёнными постановлением Правительства РФ от 15.12.2020 № 2099 «Об утверждении Правил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молочной продукции».</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Указанное обстоятельство достоверно подтверждается имеющимся в материалах дела скриншотом сайта государственной информационной системы мониторинга за оборотом товаров.</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В связи с нарушением обязательных требований Территориальным отделом было выдано предостережение о недопустимости нарушения обязательных требований и принятию мер по обеспечению соблюдения обязательных требований № 51 от 20.03.2026.</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Предостережения были направлены электронной почтой ИП, и получены адресатом, возражения на них в порядке, установленном п. 17 Положения о федеральном государственном контроле (надзоре) в области защиты прав потребителей, утверждённого постановлением Правительства РФ от 25.06.2021 № 1005, не поступали.</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Доказательств обратного суду не предоставлено.</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Таким образом, суд приходит к выводу о том, что участником оборота молочной продукции ИП не соблюдены требования продажи молочной продукции, в связи с чем, в действиях ИП в ГИС МТ «Честный знак» систематически выявляет отклонения, что свидетельствует о нарушении требований Федерального закона от 28.12.2009 № 381-ФЗ «Об основах государственного регулирования торговой деятельности в Российской Федерации», Постановления Правительства РФ от 21.11.2023 № 1944 «Об утверждении перечня случаев, при которых продажа товаров, подлежащих обязательной маркировке средствами идентификации, запрещена на основании информации, содержащейся в государственной информационной системе мониторинга за оборотом товаров, подлежащих обязательной маркировке средствами идентификации, или отсутствия в указанной государственной информационной системе необходимой информации о таких товарах, и особенностей внедрения указанного запрета в отношении отдельных товаров, а также Правил применения запрета продажи товаров, подлежащих обязательной маркировке средствами идентификации, на основании информации, содержащейся в государственной информационной системе мониторинга за оборотом товаров, подлежащих обязательной маркировке средствами идентификации, или отсутствия в указанной государственной информационной системе необходимой информации, в том числе правил получения информации из указанной государственной информационной системы» и Постановления Правительства РФ от 26.04.2019 № 515 «О системе маркировки товаров средствами идентификации и прослеживаемости движения товаров», выразившимся продаже на кассе маркированных товаров, у которых есть проблемы с кодами Data Matrix.</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Согласно п. 5 ст. 4 Закона РФ от 07.02.1992 № 2300-1 «О защите прав потребителей»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В п. 1 ст. 10 Закона РФ «О защите прав потребителей» предусмотрена обязанность изготовителя (исполнителя, продавца)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В силу пунктов 2, 3 указанной статьи, информация о товарах (работах, услугах) в обязательном порядке должна содержать 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 сведения об основных потребительских свойствах товаров (работ, услуг). Информация о товарах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Правительство РФ может вводить обязательную маркировку товаров средствами идентификации в целях обеспечения законного оборота товаров, защиты прав потребителей и предупреждения действий, вводящих их в заблуждение, охраны жизни и здоровья человека, защиты общественной морали и правопорядка, охраны окружающей среды, животных и растений, культурных ценностей, выполнения международных обязательств Российской Федерации и (или) обеспечения обороны страны и безопасности государства (п. 7 ст. 8 Федеральный закон от 28.12.2009 № 381-ФЗ «Об основах государственного регулирования торговой деятельности в Российской Федерации».</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Во исполнение указанной нормы Правительством РФ издано Распоряжение Правительства РФ от 28.04.2018 № 792-р «Об утверждении перечня отдельных товаров, подлежащих обязательной маркировке средствами идентификации», а также утверждено Постановление № 1944 и Постановление № 515.</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Согласно ч. 5 ст. 20.1 Федерального закона от 28.12.2009 № 381-ФЗ: участники оборота товаров, подлежащих обязательной маркировке средствами идентификации, обязаны передавать информацию об обороте товаров, подлежащих обязательной маркировке средствами идентификации, в соответствии с правилами, установленными Правительством Российской Федерации, в информационную систему мониторинга.</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В соответствии с п. 10 Постановления № 515 товары, сведения о которых (в том числе сведения о нанесённых на них средствах идентификации) не переданы в информационную систему мониторинга или переданы с нарушением требований, установленных законодательством Российской Федерации, считаются немаркированными.</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Согласно п. 25 Правил Постановления № 515, ответственность за полноту, достоверность и своевременность представляемых оператору сведений несут участники оборота товаров.</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С учётом пп. «в» п. 3 Правил, утверждённых постановлением Правительства РФ от 15.12.2020 № 2099 г. (ред. от 26.11.2024) «Об утверждении Правил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молочной продукции» - Установить, что: в отношении молочной продукции со сроком хранения до 40 суток (включительно) (из кодов товарной номенклатуры 0401, 0402, 0403, 0404, 0405, 0406, 2202 99 910 0, 2202 99 950 0, 2202 99 990 0 и из кодов по классификатору 10.51, 10.86.10.110, 10.86.10.140,10.86.10.190): участники оборота молочной продукции, осуществляющие ввод в оборот указанной молочной продукции, наносят средства идентификации на указанную молочную продукцию и представляют в информационную систему мониторинга сведения о нанесении средств идентификации и вводе в оборот указанной молочной продукции в соответствии с Правилами, утверждёнными настоящим постановлением, с 1 декабря 2021 г., сведения о выводе из оборота указанной молочной продукции путём розничной продажи в соответствии с Правилами, утверждёнными настоящим постановлением, - с 1 сентября 2022 г., сведения об обороте и сведения о выводе из оборота путём, не являющимся продажей в розницу, указанной молочной продукции в соответствии с Правилами, утверждёнными настоящим постановлением, - с 1 сентября 2022 г.</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Сам факт реализации товара с нарушением обязательных требований определяет нарушение прав неопределённого круга потребителей, поскольку вводит их в заблуждение и не обеспечивает возможность правильного выбора товаров.</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В соответствии с п. 1 ст. 13 Закона РФ «О защите прав потребителей» за нарушение прав потребителей продавец (исполнитель) несёт ответственность, предусмотренную законом или договором.</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Продавец товара обязан предпринимать все исчерпывающие меры по соблюдению установленных обязательных требований. Реализация (продажа) маркированного товара без проверки кода маркировки не допускается.</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Анализируя исследованные судом доказательств в их совокупности, принимая во внимание то обстоятельство, что ответчик осуществлял продажу товаров с нарушением обязательных требований и продолжает свои противоправные действия, тем самым создаёт опасность причинения вреда правам граждан, суд приходит к выводу о состоятельности заявленных Управлением Федеральной службы по надзору в сфере защиты прав потребителей и благополучия человека по Липецкой области исковых требований, подлежащих удовлетворению в полном объёме.</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В соответствии с требованиями ст. 103 ГПК РФ с ответчика, не освобождённого от уплаты государственной пошлины, в бюджет Лебедянского муниципального округа Липецкой области подлежит взысканию государственная пошлина в размере ….. руб.</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На основании изложенного, руководствуясь ст.ст. 194-198 ГПК РФ, суд</w:t>
      </w:r>
    </w:p>
    <w:p>
      <w:pPr>
        <w:pStyle w:val="BodyText"/>
        <w:widowControl/>
        <w:ind w:hanging="0" w:left="0" w:right="0"/>
        <w:jc w:val="center"/>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РЕШИЛ:</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Исковые требования Управления Федеральной службы по надзору в сфере защиты прав потребителей и благополучия человека по Липецкой области к индивидуальному предпринимателю  о признании противоправными действий по розничной продаже молочной продукции и их прекращении, удовлетворить.</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Признать противоправными действия индивидуального предпринимателя  (ИНН №) с 24.11.2025 по 09.01.2026, выразившиеся в несоблюдении обязательных требований к маркировке товаров средствами идентификации в ГИС МТ «Честный знак», а именно: реализации (продажа) маркированного товара без проверки кода маркировки.</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Обязать индивидуального предпринимателя  (ИНН № прекратить противоправные действия в отношении неопределённого круга лиц путём проверки кодов маркировки перед заключением договоров розничной купли-продажи молочной продукции.</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Обязать индивидуального предпринимателя (ИНН №) в месте осуществления торговой деятельности довести решение суда до сведения потребителей путём размещения в течение месяца со дня вступления решения суда в законную силу в доступном для потребителей месте.</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Взыскать с индивидуального предпринимателя  (ИНН №) в бюджет Лебедянского муниципального округа Липецкой области государственную пошлину в размере …. руб.</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Решение может быть обжаловано в апелляционном порядке в Липецкий областной суд в течение месяца со дня принятия в окончательной форме путём подачи жалобы через Лебедянский районный суд Липецкой области.</w:t>
      </w:r>
    </w:p>
    <w:p>
      <w:pPr>
        <w:pStyle w:val="BodyText"/>
        <w:widowControl/>
        <w:ind w:hanging="0" w:left="0" w:right="0"/>
        <w:jc w:val="center"/>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Судья                                         Н.В. Ростова</w:t>
      </w:r>
    </w:p>
    <w:p>
      <w:pPr>
        <w:pStyle w:val="BodyText"/>
        <w:widowControl/>
        <w:ind w:hanging="0" w:left="0" w:right="0"/>
        <w:rPr>
          <w:rFonts w:ascii="Times New Roman" w:hAnsi="Times New Roman"/>
          <w:b w:val="false"/>
          <w:i w:val="false"/>
          <w:i w:val="false"/>
          <w:caps w:val="false"/>
          <w:smallCaps w:val="false"/>
          <w:color w:val="000000"/>
          <w:spacing w:val="0"/>
          <w:sz w:val="28"/>
        </w:rPr>
      </w:pPr>
      <w:r>
        <w:rPr>
          <w:rFonts w:ascii="Times New Roman" w:hAnsi="Times New Roman"/>
          <w:b w:val="false"/>
          <w:i w:val="false"/>
          <w:caps w:val="false"/>
          <w:smallCaps w:val="false"/>
          <w:color w:val="000000"/>
          <w:spacing w:val="0"/>
          <w:sz w:val="28"/>
        </w:rPr>
        <w:t>Мотивированное решение изготовлено 27 мая 2026 года.</w:t>
      </w:r>
    </w:p>
    <w:p>
      <w:pPr>
        <w:pStyle w:val="BodyText"/>
        <w:widowControl/>
        <w:spacing w:before="0" w:after="140"/>
        <w:ind w:firstLine="720" w:left="0" w:right="0"/>
        <w:jc w:val="center"/>
        <w:rPr>
          <w:rFonts w:ascii="Times New Roman" w:hAnsi="Times New Roman"/>
          <w:b w:val="false"/>
          <w:i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r>
    </w:p>
    <w:sectPr>
      <w:type w:val="continuous"/>
      <w:pgSz w:w="11906" w:h="16838"/>
      <w:pgMar w:left="1134" w:right="1134" w:gutter="0" w:header="0" w:top="1134" w:footer="0" w:bottom="1134"/>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Liberation Serif" w:hAnsi="Liberation Serif" w:eastAsia="Noto Sans" w:cs="Noto Sans"/>
      <w:color w:val="auto"/>
      <w:kern w:val="2"/>
      <w:sz w:val="24"/>
      <w:szCs w:val="24"/>
      <w:lang w:val="ru-RU" w:eastAsia="zh-CN" w:bidi="hi-IN"/>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Liberation Sans" w:hAnsi="Liberation Sans" w:eastAsia="Noto Sans"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5">
    <w:name w:val="Указатель"/>
    <w:basedOn w:val="Normal"/>
    <w:qFormat/>
    <w:pPr>
      <w:suppressLineNumbers/>
    </w:pPr>
    <w:rPr/>
  </w:style>
  <w:style w:type="paragraph" w:styleId="user">
    <w:name w:val="Заголовок (user)"/>
    <w:basedOn w:val="Normal"/>
    <w:next w:val="BodyText"/>
    <w:qFormat/>
    <w:pPr>
      <w:keepNext w:val="true"/>
      <w:spacing w:before="240" w:after="120"/>
    </w:pPr>
    <w:rPr>
      <w:rFonts w:ascii="Liberation Sans" w:hAnsi="Liberation Sans" w:eastAsia="Noto Sans" w:cs="Noto Sans"/>
      <w:sz w:val="28"/>
      <w:szCs w:val="28"/>
    </w:rPr>
  </w:style>
  <w:style w:type="paragraph" w:styleId="user1">
    <w:name w:val="Указатель (user)"/>
    <w:basedOn w:val="Normal"/>
    <w:qFormat/>
    <w:pPr>
      <w:suppressLineNumbers/>
    </w:pPr>
    <w:rPr/>
  </w:style>
  <w:style w:type="paragraph" w:styleId="user2">
    <w:name w:val="Содержимое таблицы (user)"/>
    <w:basedOn w:val="Normal"/>
    <w:qFormat/>
    <w:pPr>
      <w:widowControl w:val="false"/>
      <w:suppressLineNumbers/>
    </w:pPr>
    <w:rPr/>
  </w:style>
  <w:style w:type="paragraph" w:styleId="user3">
    <w:name w:val="Заголовок таблицы (user)"/>
    <w:basedOn w:val="user2"/>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ebedsud--lpk.sudrf.ru/modules.php?name=sud_delo&amp;srv_num=1&amp;name_op=case&amp;n_c=1&amp;case_id=383482587&amp;case_uid=b0f834ec-daa4-439e-bb58-bf2ff4e1b337&amp;delo_id=1540005&amp;new=0"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259</TotalTime>
  <Application>LibreOffice/24.8.5.2$Linux_X86_64 LibreOffice_project/480$Build-2</Application>
  <AppVersion>15.0000</AppVersion>
  <Pages>12</Pages>
  <Words>3293</Words>
  <Characters>24076</Characters>
  <CharactersWithSpaces>27353</CharactersWithSpaces>
  <Paragraphs>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2026-02-06T09:52:00Z</dcterms:created>
  <dc:creator/>
  <dc:description/>
  <dc:language>ru-RU</dc:language>
  <cp:lastModifiedBy/>
  <dcterms:modified xsi:type="dcterms:W3CDTF">2026-07-09T13:20:46Z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file>