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6"/>
        <w:widowControl/>
        <w:spacing w:lineRule="exact" w:line="250"/>
        <w:ind w:right="77"/>
        <w:jc w:val="center"/>
        <w:rPr/>
      </w:pPr>
      <w:r>
        <w:rPr>
          <w:rStyle w:val="FontStyle21"/>
          <w:spacing w:val="60"/>
          <w:sz w:val="24"/>
          <w:szCs w:val="24"/>
        </w:rPr>
        <w:t xml:space="preserve">РЕШЕНИЕ </w:t>
      </w:r>
    </w:p>
    <w:p>
      <w:pPr>
        <w:pStyle w:val="Style16"/>
        <w:widowControl/>
        <w:spacing w:lineRule="exact" w:line="250"/>
        <w:ind w:right="77"/>
        <w:jc w:val="center"/>
        <w:rPr/>
      </w:pPr>
      <w:r>
        <w:rPr>
          <w:rStyle w:val="FontStyle21"/>
          <w:sz w:val="24"/>
          <w:szCs w:val="24"/>
        </w:rPr>
        <w:t>ИМЕНЕМ РОССИЙСКОЙ ФЕДЕРАЦИИ</w:t>
      </w:r>
    </w:p>
    <w:p>
      <w:pPr>
        <w:pStyle w:val="Style141"/>
        <w:widowControl/>
        <w:spacing w:lineRule="exact" w:line="25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31"/>
        <w:widowControl/>
        <w:tabs>
          <w:tab w:val="clear" w:pos="720"/>
          <w:tab w:val="left" w:pos="2938" w:leader="none"/>
        </w:tabs>
        <w:spacing w:before="10" w:after="0"/>
        <w:ind w:right="3379"/>
        <w:rPr/>
      </w:pPr>
      <w:r>
        <w:rPr>
          <w:rStyle w:val="FontStyle18"/>
          <w:sz w:val="24"/>
          <w:szCs w:val="24"/>
        </w:rPr>
        <w:t xml:space="preserve">20 июня 2024 года </w:t>
      </w:r>
    </w:p>
    <w:p>
      <w:pPr>
        <w:pStyle w:val="Style31"/>
        <w:widowControl/>
        <w:tabs>
          <w:tab w:val="clear" w:pos="720"/>
          <w:tab w:val="left" w:pos="2938" w:leader="none"/>
        </w:tabs>
        <w:spacing w:before="10" w:after="0"/>
        <w:ind w:right="337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31"/>
        <w:widowControl/>
        <w:tabs>
          <w:tab w:val="clear" w:pos="720"/>
          <w:tab w:val="left" w:pos="2938" w:leader="none"/>
        </w:tabs>
        <w:spacing w:before="10" w:after="0"/>
        <w:ind w:right="3379"/>
        <w:rPr/>
      </w:pPr>
      <w:r>
        <w:rPr>
          <w:rStyle w:val="FontStyle18"/>
          <w:sz w:val="24"/>
          <w:szCs w:val="24"/>
        </w:rPr>
        <w:t>Елецкий районный суд Липецкой области в составе</w:t>
        <w:br/>
        <w:t>Председательствующего судьи Рыжковой О.В.</w:t>
        <w:br/>
        <w:t>При секретаре</w:t>
        <w:tab/>
        <w:t>Поляковой Н.И.,</w:t>
      </w:r>
    </w:p>
    <w:p>
      <w:pPr>
        <w:pStyle w:val="Style41"/>
        <w:widowControl/>
        <w:rPr/>
      </w:pPr>
      <w:r>
        <w:rPr>
          <w:rStyle w:val="FontStyle18"/>
          <w:sz w:val="24"/>
          <w:szCs w:val="24"/>
        </w:rPr>
        <w:tab/>
        <w:t>Рассмотрев в открытом судебном заседании в с. Измалково Липецкой области гражданское дело №2-А149/2024 по иску территориального отдела Управления Федеральной службы по надзору в сфере защиты прав потребителей и благополучия человека по Липецкой области в г. Ельце, Долгоруковском, Елецком, Измалковском, Становлянском районах в интересах неопределенного круга лиц к муниципальному унитарному предприятию Измалковского района Липецкой области «Измалковскии водоканал» о признании действий противоправными и понуждении к проведению мероприятий по приведению качества питьевой воды в соответствии с обязательными требованиями,</w:t>
      </w:r>
    </w:p>
    <w:p>
      <w:pPr>
        <w:pStyle w:val="Style41"/>
        <w:widowControl/>
        <w:ind w:right="72"/>
        <w:jc w:val="center"/>
        <w:rPr>
          <w:rStyle w:val="FontStyle18"/>
          <w:spacing w:val="50"/>
          <w:sz w:val="24"/>
          <w:szCs w:val="24"/>
        </w:rPr>
      </w:pPr>
      <w:r>
        <w:rPr>
          <w:spacing w:val="50"/>
          <w:sz w:val="24"/>
          <w:szCs w:val="24"/>
        </w:rPr>
      </w:r>
    </w:p>
    <w:p>
      <w:pPr>
        <w:pStyle w:val="Style41"/>
        <w:widowControl/>
        <w:ind w:right="72"/>
        <w:jc w:val="center"/>
        <w:rPr/>
      </w:pPr>
      <w:r>
        <w:rPr>
          <w:rStyle w:val="FontStyle18"/>
          <w:spacing w:val="50"/>
          <w:sz w:val="24"/>
          <w:szCs w:val="24"/>
        </w:rPr>
        <w:t>Установил:</w:t>
      </w:r>
    </w:p>
    <w:p>
      <w:pPr>
        <w:pStyle w:val="Style61"/>
        <w:widowControl/>
        <w:spacing w:lineRule="exact" w:line="240"/>
        <w:ind w:firstLine="50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61"/>
        <w:widowControl/>
        <w:spacing w:lineRule="exact" w:line="250" w:before="14" w:after="0"/>
        <w:ind w:firstLine="509"/>
        <w:rPr/>
      </w:pPr>
      <w:r>
        <w:rPr>
          <w:rStyle w:val="FontStyle18"/>
          <w:sz w:val="24"/>
          <w:szCs w:val="24"/>
        </w:rPr>
        <w:t>территориальный отдел Управления Федеральной службы по надзору в сфере защиты прав потребителей и благополучия человека по Липецкой области в г. Ельце, Долгоруковском, Елецком, Измалковском, Становлянском районах обратился в суд в интересах неопределенного круга лиц с иском к муниципальному унитарному предприятию Измалковского района Липецкой области «Измалковскии водоканал» о признании действий противоправными и понуждении к проведению мероприятий по приведению качества питьевой воды в соответствии с обязательными требованиями. В обоснование иска сослался на то, что по результатам лабораторных исследований питьевой воды из скважины с №ГВК 42204847 в с. Измалково Измалковского района Липецкой области установлено, что вода не соответствует требованиям СанПиН 1.2.3685-21 «Гигиенические нормативы и требования к обеспечению безопасности и (или) безвредности для человека факторов среды обитания» - при нормативе содержания нитратов не более 45 в пробе воды их обнаружено 83,7+-12,6 мг/куб.дм. В этой связи истец просил обязать ответчика в срок до 01.05.2025 г. организовать проведение производственного лабораторного контроля качества питьевой воды системы централизованного хозяйственно-питьевого водоснабжения скважины в с. Изамлково не реже 1 раза в год, подтверждаемое протоколами лабораторных исследований, испытаний; включить источник водоснабжения с. Измалково в план мероприятий по приведению качества питьевой воды в соответствии с требованиями ФЗ «О водоснабжении и водоотведении»; оборудовать скважину в с. Измалково павильоном, непроницаемым для атмосферных осадков и паводковых вод; герметизировать устье скважины вокруг оголовка; сделать прокладки между фланцами.</w:t>
      </w:r>
    </w:p>
    <w:p>
      <w:pPr>
        <w:pStyle w:val="Style61"/>
        <w:widowControl/>
        <w:spacing w:lineRule="exact" w:line="250" w:before="14" w:after="0"/>
        <w:ind w:firstLine="509"/>
        <w:rPr/>
      </w:pPr>
      <w:r>
        <w:rPr>
          <w:rStyle w:val="FontStyle18"/>
          <w:sz w:val="24"/>
          <w:szCs w:val="24"/>
        </w:rPr>
        <w:t>В ходе судебного разбирательства представитель истца Ш.Л.Н. поддержала иск по изложенные выше основаниям.</w:t>
      </w:r>
    </w:p>
    <w:p>
      <w:pPr>
        <w:pStyle w:val="Style41"/>
        <w:widowControl/>
        <w:jc w:val="left"/>
        <w:rPr/>
      </w:pPr>
      <w:r>
        <w:rPr>
          <w:rStyle w:val="FontStyle18"/>
          <w:sz w:val="24"/>
          <w:szCs w:val="24"/>
        </w:rPr>
        <w:t>Представитель ответчика МУП «Измалковскии водоканал» в судебное заседание не явился. Исследовав письменные доказательства по делу, суд приходит к следующим выводам. Статьями 41 и 42 Конституции Российской Федерации закреплено право граждан на охрану здоровья и благоприятную окружающую среду.</w:t>
      </w:r>
    </w:p>
    <w:p>
      <w:pPr>
        <w:pStyle w:val="Style71"/>
        <w:widowControl/>
        <w:spacing w:lineRule="exact" w:line="250"/>
        <w:ind w:firstLine="691"/>
        <w:rPr/>
      </w:pPr>
      <w:r>
        <w:rPr>
          <w:rStyle w:val="FontStyle18"/>
          <w:sz w:val="24"/>
          <w:szCs w:val="24"/>
        </w:rPr>
        <w:t>В соответствии со ст. 18 Федерального закона от 30.03.1999 г. N 52-ФЗ "О санитарно-эпидемиологическом благополучии населения" водные объекты, используемые в целях питьевого и хозяйственно-бытового водоснабжения, а также в лечебных, оздоровительных и рекреационных целях, в том числе водные объекты, расположенные в границах городских и сельских населенных пунктов (далее -водные объекты), не должны являться источниками биологических, химических и физических факторов вредного воздействия на человека.</w:t>
      </w:r>
    </w:p>
    <w:p>
      <w:pPr>
        <w:pStyle w:val="Style71"/>
        <w:widowControl/>
        <w:spacing w:lineRule="exact" w:line="250"/>
        <w:rPr/>
      </w:pPr>
      <w:r>
        <w:rPr>
          <w:rStyle w:val="FontStyle18"/>
          <w:sz w:val="24"/>
          <w:szCs w:val="24"/>
        </w:rPr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>
      <w:pPr>
        <w:sectPr>
          <w:type w:val="nextPage"/>
          <w:pgSz w:w="11906" w:h="16838"/>
          <w:pgMar w:left="1025" w:right="1025" w:gutter="0" w:header="0" w:top="720" w:footer="0" w:bottom="1440"/>
          <w:pgNumType w:fmt="decimal"/>
          <w:formProt w:val="false"/>
          <w:textDirection w:val="lrTb"/>
          <w:docGrid w:type="default" w:linePitch="312" w:charSpace="0"/>
        </w:sectPr>
        <w:pStyle w:val="Style71"/>
        <w:widowControl/>
        <w:spacing w:lineRule="exact" w:line="250"/>
        <w:ind w:firstLine="696"/>
        <w:rPr/>
      </w:pPr>
      <w:r>
        <w:rPr>
          <w:rStyle w:val="FontStyle18"/>
          <w:sz w:val="24"/>
          <w:szCs w:val="24"/>
        </w:rPr>
        <w:t>Согласно ст. 19 ФЗ "О санитарно-эпидемиологическом благополучии населения", питьевая вода должна быть безопасной в эпидемиологическом и радиационном отношении, безвредной по химическому</w:t>
      </w:r>
    </w:p>
    <w:p>
      <w:pPr>
        <w:pStyle w:val="Style71"/>
        <w:widowControl/>
        <w:spacing w:lineRule="auto" w:line="240"/>
        <w:ind w:hanging="0" w:left="4858"/>
        <w:rPr/>
      </w:pPr>
      <w:r>
        <w:rPr>
          <w:rStyle w:val="FontStyle23"/>
          <w:sz w:val="24"/>
          <w:szCs w:val="24"/>
        </w:rPr>
        <w:t>2</w:t>
      </w:r>
    </w:p>
    <w:p>
      <w:pPr>
        <w:pStyle w:val="Style41"/>
        <w:widowControl/>
        <w:spacing w:before="182" w:after="0"/>
        <w:ind w:right="67"/>
        <w:rPr/>
      </w:pPr>
      <w:r>
        <w:rPr>
          <w:rStyle w:val="FontStyle18"/>
          <w:sz w:val="24"/>
          <w:szCs w:val="24"/>
        </w:rPr>
        <w:t>составу и должна иметь благоприятные органолептические свойства. Население городских и сельских поселений должно обеспечиваться питьевой водой в приоритетном порядке в количестве, достаточном для удовлетворения физиологических и бытовых потребностей.</w:t>
      </w:r>
    </w:p>
    <w:p>
      <w:pPr>
        <w:pStyle w:val="Style71"/>
        <w:widowControl/>
        <w:spacing w:lineRule="exact" w:line="250"/>
        <w:ind w:firstLine="691"/>
        <w:rPr/>
      </w:pPr>
      <w:r>
        <w:rPr>
          <w:rStyle w:val="FontStyle18"/>
          <w:sz w:val="24"/>
          <w:szCs w:val="24"/>
        </w:rPr>
        <w:t>Организации, осуществляющие горячее водоснабжение, холодное водоснабжение с использованием централизованных систем горячего водоснабжения, холодного водоснабжения, обязаны обеспечить соответствие качества горячей и питьевой воды указанных систем санитарно-эпидемиологическим требованиям.</w:t>
      </w:r>
    </w:p>
    <w:p>
      <w:pPr>
        <w:pStyle w:val="Style71"/>
        <w:widowControl/>
        <w:spacing w:lineRule="exact" w:line="250"/>
        <w:ind w:firstLine="701"/>
        <w:rPr/>
      </w:pPr>
      <w:r>
        <w:rPr>
          <w:rStyle w:val="FontStyle18"/>
          <w:sz w:val="24"/>
          <w:szCs w:val="24"/>
        </w:rPr>
        <w:t>В соответствии с п.859 таблицы 3.13 СанПиН 1.2.3685-21 "Гигиенические нормативы и требования к обеспечению безопасности и (или) безвредности для человека факторов среды обитания" предельно допустимая концентрация (ПДК) химических веществ в воде питьевой систем централизованного водоснабжения составляет 45 мг/л.</w:t>
      </w:r>
    </w:p>
    <w:p>
      <w:pPr>
        <w:pStyle w:val="Style71"/>
        <w:widowControl/>
        <w:spacing w:lineRule="exact" w:line="250"/>
        <w:ind w:firstLine="696"/>
        <w:rPr/>
      </w:pPr>
      <w:r>
        <w:rPr>
          <w:rStyle w:val="FontStyle18"/>
          <w:sz w:val="24"/>
          <w:szCs w:val="24"/>
        </w:rPr>
        <w:t xml:space="preserve">Согласно поручению начальника теротдела Управления Роспотребнадзора по Липецкой области в г. Ельце, Долгоруковском, Елецком, Измалковском, Становлянском районах на проведение государственных работ от 25.03.2024 г. проведена плановая проверка МУП «Измалковскии водоканал», в ходе которой 11.04.2024 г. с 11.10 час. до 11.30 час. проведен отбор проб воды на микробиологические, санитарно-химические показатели, в том числе, из скважины 42204847 в с. Измалково Измалковского района Липецкой области. </w:t>
      </w:r>
    </w:p>
    <w:p>
      <w:pPr>
        <w:pStyle w:val="Style71"/>
        <w:widowControl/>
        <w:spacing w:lineRule="exact" w:line="250"/>
        <w:ind w:hanging="0"/>
        <w:jc w:val="center"/>
        <w:rPr/>
      </w:pPr>
      <w:r>
        <w:rPr>
          <w:rStyle w:val="FontStyle18"/>
          <w:sz w:val="24"/>
          <w:szCs w:val="24"/>
        </w:rPr>
        <w:t>При отборе проб присутствовал директор МУП «Измалковскии водоканал» Р.Ю.А.</w:t>
      </w:r>
    </w:p>
    <w:p>
      <w:pPr>
        <w:pStyle w:val="Style71"/>
        <w:widowControl/>
        <w:spacing w:lineRule="exact" w:line="250"/>
        <w:ind w:firstLine="691"/>
        <w:rPr/>
      </w:pPr>
      <w:r>
        <w:rPr>
          <w:rStyle w:val="FontStyle18"/>
          <w:sz w:val="24"/>
          <w:szCs w:val="24"/>
        </w:rPr>
        <w:t>Согласно протоколу испытаний, проведенных 17.04.2024 г. в испытательном лабораторном центре филиала ФБУЗ «Центр гигиены и эпидемиологии в Липецкой области» в г. Ельце содержание нитратов в образце питьевой воды составило 83.7+-12,6 мг/куб.дм.</w:t>
      </w:r>
    </w:p>
    <w:p>
      <w:pPr>
        <w:pStyle w:val="Style71"/>
        <w:widowControl/>
        <w:tabs>
          <w:tab w:val="clear" w:pos="720"/>
          <w:tab w:val="left" w:pos="8045" w:leader="none"/>
        </w:tabs>
        <w:spacing w:lineRule="exact" w:line="250"/>
        <w:ind w:firstLine="696"/>
        <w:rPr/>
      </w:pPr>
      <w:r>
        <w:rPr>
          <w:rStyle w:val="FontStyle18"/>
          <w:sz w:val="24"/>
          <w:szCs w:val="24"/>
        </w:rPr>
        <w:t>В соответствии со ст.ст. 40 и 46 Закона РФ "О защите прав потребителей", уполномоченный федеральный орган исполнительной власти по; контролю (надзору) в области защиты прав потребителей (его территориальные органы) вправе предъявлять иски в суды о прекращении противоправных действий исполнителя в отношении неопределенного круга потребителей.</w:t>
        <w:tab/>
      </w:r>
    </w:p>
    <w:p>
      <w:pPr>
        <w:pStyle w:val="Style71"/>
        <w:widowControl/>
        <w:spacing w:lineRule="exact" w:line="250"/>
        <w:ind w:firstLine="696"/>
        <w:rPr/>
      </w:pPr>
      <w:r>
        <w:rPr>
          <w:rStyle w:val="FontStyle18"/>
          <w:sz w:val="24"/>
          <w:szCs w:val="24"/>
        </w:rPr>
        <w:t>Как следует из общедоступных источников информации основной вид деятельности МУП «Измалковскии водоканал» - забор, очистка и распределение воды, в связи с чем оно обязано предоставлять услуги по водоснабжению населения надлежащего качества, безопасные для жизни, здоровья граждан, а именно, обеспечивать соответствие качества питьевой воды нормативным требованиям по эпидемической и радиационной безопасности, безвредности химического состава, благоприятных органолептических свойств.</w:t>
      </w:r>
    </w:p>
    <w:p>
      <w:pPr>
        <w:pStyle w:val="Style71"/>
        <w:widowControl/>
        <w:spacing w:lineRule="exact" w:line="250"/>
        <w:ind w:firstLine="696"/>
        <w:rPr/>
      </w:pPr>
      <w:r>
        <w:rPr>
          <w:rStyle w:val="FontStyle18"/>
          <w:sz w:val="24"/>
          <w:szCs w:val="24"/>
        </w:rPr>
        <w:t>По смыслу ст.ст. 23,25 Федерального закона от 07.12.2011 N 416-ФЗ "О водоснабжении и водоотведении" требования к качеству питьевой воды обеспечиваются путем разработки плана мероприятий по приведению качества питьевой воды в соответствие с установленными требованиями, который включается в состав инвестиционной программы; проведением производственного контроля качества питьевой воды на ее соответствие установленным требованиям; соблюдением санитарно-эпидемиологических требований к организации и эксплуатации зон санитарной охраны источников водоснабжения и водопроводов питьевого назначения (СанПиН 2.1.4.1110-02 Зоны санитарной охраны источников водоснабжения и водопроводов питьевого назначения).</w:t>
      </w:r>
    </w:p>
    <w:p>
      <w:pPr>
        <w:pStyle w:val="Style71"/>
        <w:widowControl/>
        <w:spacing w:lineRule="exact" w:line="250"/>
        <w:ind w:firstLine="701"/>
        <w:rPr/>
      </w:pPr>
      <w:r>
        <w:rPr>
          <w:rStyle w:val="FontStyle18"/>
          <w:sz w:val="24"/>
          <w:szCs w:val="24"/>
        </w:rPr>
        <w:t>Таким образом, иск, предъявленный в защиту неопределенного круга лиц, подлежит удовлетворению.</w:t>
      </w:r>
    </w:p>
    <w:p>
      <w:pPr>
        <w:pStyle w:val="Style71"/>
        <w:widowControl/>
        <w:spacing w:lineRule="exact" w:line="250"/>
        <w:ind w:firstLine="706"/>
        <w:rPr/>
      </w:pPr>
      <w:r>
        <w:rPr>
          <w:rStyle w:val="FontStyle18"/>
          <w:sz w:val="24"/>
          <w:szCs w:val="24"/>
        </w:rPr>
        <w:t>На основании изложенного, руководствуясь ст. 19 ФЗ "О санитарно-эпидемиологическом благополучии населения", ст.ст. 194-199 ГПК РФ, суд</w:t>
      </w:r>
    </w:p>
    <w:p>
      <w:pPr>
        <w:pStyle w:val="Style41"/>
        <w:widowControl/>
        <w:spacing w:lineRule="exact" w:line="240"/>
        <w:ind w:left="4805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41"/>
        <w:widowControl/>
        <w:spacing w:lineRule="auto" w:line="240" w:before="29" w:after="0"/>
        <w:ind w:left="4805"/>
        <w:jc w:val="left"/>
        <w:rPr/>
      </w:pPr>
      <w:r>
        <w:rPr>
          <w:rStyle w:val="FontStyle18"/>
          <w:spacing w:val="50"/>
          <w:sz w:val="24"/>
          <w:szCs w:val="24"/>
        </w:rPr>
        <w:t>РЕШИЛ:</w:t>
      </w:r>
    </w:p>
    <w:p>
      <w:pPr>
        <w:pStyle w:val="Style71"/>
        <w:widowControl/>
        <w:spacing w:lineRule="exact" w:line="240"/>
        <w:ind w:firstLine="70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71"/>
        <w:widowControl/>
        <w:spacing w:lineRule="exact" w:line="254" w:before="14" w:after="0"/>
        <w:ind w:firstLine="701"/>
        <w:rPr/>
      </w:pPr>
      <w:r>
        <w:rPr>
          <w:rStyle w:val="FontStyle18"/>
          <w:sz w:val="24"/>
          <w:szCs w:val="24"/>
        </w:rPr>
        <w:t>Иск территориального отдела Управления Федеральной службы по надзору в сфере защиты прав потребителей и благополучия человека по Липецкой области в г. Ельце, Долгоруковском, Елецком, Измалковском, Становлянском районах в интересах неопределенного круга лиц к муниципальному унитарному предприятию Измалковского района Липецкой области «Измалковскии водоканал» о признании действий противоправными и понуждении к проведению мероприятий по приведению качества питьевой воды в соответствии с обязательными требованиями удовлетворить.</w:t>
      </w:r>
    </w:p>
    <w:p>
      <w:pPr>
        <w:pStyle w:val="Style71"/>
        <w:widowControl/>
        <w:spacing w:lineRule="exact" w:line="254" w:before="14" w:after="0"/>
        <w:ind w:firstLine="701"/>
        <w:rPr/>
      </w:pPr>
      <w:r>
        <w:rPr>
          <w:rStyle w:val="FontStyle18"/>
          <w:sz w:val="24"/>
          <w:szCs w:val="24"/>
        </w:rPr>
        <w:t>Обязать муниципальное унитарное предприятие Измалковского района Липецкой области «Измалковскии водоканал» в срок до 01.05.2025 г.</w:t>
      </w:r>
    </w:p>
    <w:p>
      <w:pPr>
        <w:pStyle w:val="Style151"/>
        <w:widowControl/>
        <w:numPr>
          <w:ilvl w:val="0"/>
          <w:numId w:val="1"/>
        </w:numPr>
        <w:tabs>
          <w:tab w:val="clear" w:pos="720"/>
          <w:tab w:val="left" w:pos="922" w:leader="none"/>
        </w:tabs>
        <w:ind w:firstLine="691"/>
        <w:rPr/>
      </w:pPr>
      <w:r>
        <w:rPr>
          <w:rStyle w:val="FontStyle18"/>
          <w:sz w:val="24"/>
          <w:szCs w:val="24"/>
        </w:rPr>
        <w:t>организовать проведение производственного контроля качества питьевой воды системы централизованного хозяйственно-питьевого водоснабжения скважины № ГВК 42204847 в с. Измалково Измалковского муниципального округа Липецкой области не реже 1 раза в год, подтверждаемое протоколами лабораторных исследований, испытаний;</w:t>
      </w:r>
    </w:p>
    <w:p>
      <w:pPr>
        <w:pStyle w:val="Style151"/>
        <w:widowControl/>
        <w:numPr>
          <w:ilvl w:val="0"/>
          <w:numId w:val="5"/>
        </w:numPr>
        <w:tabs>
          <w:tab w:val="clear" w:pos="720"/>
          <w:tab w:val="left" w:pos="922" w:leader="none"/>
        </w:tabs>
        <w:ind w:firstLine="691"/>
        <w:rPr/>
      </w:pPr>
      <w:r>
        <w:rPr>
          <w:rStyle w:val="FontStyle18"/>
          <w:sz w:val="24"/>
          <w:szCs w:val="24"/>
        </w:rPr>
        <w:t>включить источник водоснабжения скважину № ГВК 42204847 с. Измалково в План мероприятий по приведению качества питьевой воды в соответствии с установленными требованиями;</w:t>
      </w:r>
    </w:p>
    <w:p>
      <w:pPr>
        <w:pStyle w:val="Style151"/>
        <w:widowControl/>
        <w:numPr>
          <w:ilvl w:val="0"/>
          <w:numId w:val="6"/>
        </w:numPr>
        <w:tabs>
          <w:tab w:val="clear" w:pos="720"/>
          <w:tab w:val="left" w:pos="835" w:leader="none"/>
        </w:tabs>
        <w:ind w:firstLine="696"/>
        <w:rPr/>
      </w:pPr>
      <w:r>
        <w:rPr>
          <w:rStyle w:val="FontStyle18"/>
          <w:sz w:val="24"/>
          <w:szCs w:val="24"/>
        </w:rPr>
        <w:t>оборудовать скважину № ГВК 42204847 в с. Измалково Измалковского муниципального округа Липецкой области павильоном, непроницаемым для атмосферных осадков и паводковых вод, герметизировать устье скважины вокруг оголовка, сделать прокладки между фланцами.</w:t>
      </w:r>
    </w:p>
    <w:p>
      <w:pPr>
        <w:pStyle w:val="Style71"/>
        <w:widowControl/>
        <w:spacing w:lineRule="exact" w:line="250"/>
        <w:ind w:firstLine="744"/>
        <w:rPr/>
      </w:pPr>
      <w:r>
        <w:rPr>
          <w:rStyle w:val="FontStyle18"/>
          <w:sz w:val="24"/>
          <w:szCs w:val="24"/>
        </w:rPr>
        <w:t>Решение может быть обжаловано в Липецкий областной суд в течение месяца со дня его принятия в окончательной форме путем подачи апелляционной жалобы через Елецкий районный суд.</w:t>
      </w:r>
    </w:p>
    <w:p>
      <w:pPr>
        <w:pStyle w:val="Style71"/>
        <w:widowControl/>
        <w:spacing w:lineRule="exact" w:line="250"/>
        <w:ind w:firstLine="744"/>
        <w:rPr>
          <w:rStyle w:val="FontStyle18"/>
          <w:sz w:val="24"/>
          <w:szCs w:val="24"/>
        </w:rPr>
      </w:pPr>
      <w:r>
        <w:rPr/>
      </w:r>
    </w:p>
    <w:p>
      <w:pPr>
        <w:pStyle w:val="Style71"/>
        <w:widowControl/>
        <w:bidi w:val="0"/>
        <w:spacing w:lineRule="auto" w:line="240" w:before="14" w:after="0"/>
        <w:ind w:hanging="0" w:left="826"/>
        <w:jc w:val="left"/>
        <w:rPr/>
      </w:pPr>
      <w:r>
        <w:rPr>
          <w:rStyle w:val="FontStyle18"/>
          <w:sz w:val="24"/>
          <w:szCs w:val="24"/>
        </w:rPr>
        <w:t>Судья: подпись    (О.В.Рыжкова)</w:t>
      </w:r>
    </w:p>
    <w:p>
      <w:pPr>
        <w:pStyle w:val="Style41"/>
        <w:widowControl/>
        <w:bidi w:val="0"/>
        <w:spacing w:lineRule="exact" w:line="24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41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Мотивированное решение изготовлено 26.06.2024 г.</w:t>
      </w:r>
    </w:p>
    <w:sectPr>
      <w:headerReference w:type="even" r:id="rId2"/>
      <w:headerReference w:type="default" r:id="rId3"/>
      <w:type w:val="nextPage"/>
      <w:pgSz w:w="11906" w:h="16838"/>
      <w:pgMar w:left="1008" w:right="1008" w:gutter="0" w:header="720" w:top="1279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nstantia">
    <w:charset w:val="01"/>
    <w:family w:val="roman"/>
    <w:pitch w:val="variable"/>
  </w:font>
  <w:font w:name="Calibri">
    <w:charset w:val="01"/>
    <w:family w:val="roman"/>
    <w:pitch w:val="variable"/>
  </w:font>
  <w:font w:name="Century Schoolbook">
    <w:charset w:val="01"/>
    <w:family w:val="roman"/>
    <w:pitch w:val="variable"/>
  </w:font>
  <w:font w:name="Arial Narro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65535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65535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65535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1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evenAndOddHeader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" w:cs="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nhideWhenUsed="0"/>
    <w:lsdException w:name="Subtitle" w:uiPriority="11" w:semiHidden="0" w:unhideWhenUsed="0" w:qFormat="1"/>
    <w:lsdException w:name="Hyperlink" w:unhideWhenUsed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 w:hAnsiTheme="minorHAnsi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99"/>
    <w:qFormat/>
    <w:rPr/>
  </w:style>
  <w:style w:type="character" w:styleId="FontStyle17" w:customStyle="1">
    <w:name w:val="Font Style17"/>
    <w:basedOn w:val="DefaultParagraphFont"/>
    <w:uiPriority w:val="99"/>
    <w:qFormat/>
    <w:rPr>
      <w:rFonts w:ascii="Constantia" w:hAnsi="Constantia" w:cs="Constantia"/>
      <w:b/>
      <w:bCs/>
      <w:i/>
      <w:iCs/>
      <w:sz w:val="16"/>
      <w:szCs w:val="16"/>
    </w:rPr>
  </w:style>
  <w:style w:type="character" w:styleId="FontStyle18" w:customStyle="1">
    <w:name w:val="Font Style18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FontStyle19" w:customStyle="1">
    <w:name w:val="Font Style19"/>
    <w:basedOn w:val="DefaultParagraphFont"/>
    <w:uiPriority w:val="99"/>
    <w:qFormat/>
    <w:rPr>
      <w:rFonts w:ascii="Calibri" w:hAnsi="Calibri" w:cs="Calibri"/>
      <w:b/>
      <w:bCs/>
      <w:smallCaps/>
      <w:sz w:val="20"/>
      <w:szCs w:val="20"/>
    </w:rPr>
  </w:style>
  <w:style w:type="character" w:styleId="FontStyle20" w:customStyle="1">
    <w:name w:val="Font Style20"/>
    <w:basedOn w:val="DefaultParagraphFont"/>
    <w:uiPriority w:val="99"/>
    <w:qFormat/>
    <w:rPr>
      <w:rFonts w:ascii="Century Schoolbook" w:hAnsi="Century Schoolbook" w:cs="Century Schoolbook"/>
      <w:b/>
      <w:bCs/>
      <w:sz w:val="16"/>
      <w:szCs w:val="16"/>
    </w:rPr>
  </w:style>
  <w:style w:type="character" w:styleId="FontStyle21" w:customStyle="1">
    <w:name w:val="Font Style21"/>
    <w:basedOn w:val="DefaultParagraphFont"/>
    <w:uiPriority w:val="99"/>
    <w:qFormat/>
    <w:rPr>
      <w:rFonts w:ascii="Times New Roman" w:hAnsi="Times New Roman" w:cs="Times New Roman"/>
      <w:b/>
      <w:bCs/>
      <w:sz w:val="20"/>
      <w:szCs w:val="20"/>
    </w:rPr>
  </w:style>
  <w:style w:type="character" w:styleId="FontStyle22" w:customStyle="1">
    <w:name w:val="Font Style22"/>
    <w:basedOn w:val="DefaultParagraphFont"/>
    <w:uiPriority w:val="99"/>
    <w:qFormat/>
    <w:rPr>
      <w:rFonts w:ascii="Constantia" w:hAnsi="Constantia" w:cs="Constantia"/>
      <w:b/>
      <w:bCs/>
      <w:sz w:val="12"/>
      <w:szCs w:val="12"/>
    </w:rPr>
  </w:style>
  <w:style w:type="character" w:styleId="FontStyle23" w:customStyle="1">
    <w:name w:val="Font Style23"/>
    <w:basedOn w:val="DefaultParagraphFont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4" w:customStyle="1">
    <w:name w:val="Font Style24"/>
    <w:basedOn w:val="DefaultParagraphFont"/>
    <w:uiPriority w:val="99"/>
    <w:qFormat/>
    <w:rPr>
      <w:rFonts w:ascii="Times New Roman" w:hAnsi="Times New Roman" w:cs="Times New Roman"/>
      <w:b/>
      <w:bCs/>
      <w:i/>
      <w:iCs/>
      <w:sz w:val="18"/>
      <w:szCs w:val="18"/>
    </w:rPr>
  </w:style>
  <w:style w:type="character" w:styleId="FontStyle25" w:customStyle="1">
    <w:name w:val="Font Style25"/>
    <w:basedOn w:val="DefaultParagraphFont"/>
    <w:uiPriority w:val="99"/>
    <w:qFormat/>
    <w:rPr>
      <w:rFonts w:ascii="Arial Narrow" w:hAnsi="Arial Narrow" w:cs="Arial Narrow"/>
      <w:i/>
      <w:iCs/>
      <w:sz w:val="38"/>
      <w:szCs w:val="38"/>
    </w:rPr>
  </w:style>
  <w:style w:type="character" w:styleId="FontStyle26" w:customStyle="1">
    <w:name w:val="Font Style26"/>
    <w:basedOn w:val="DefaultParagraphFont"/>
    <w:uiPriority w:val="99"/>
    <w:qFormat/>
    <w:rPr>
      <w:rFonts w:ascii="Times New Roman" w:hAnsi="Times New Roman" w:cs="Times New Roman"/>
      <w:b/>
      <w:bCs/>
      <w:sz w:val="16"/>
      <w:szCs w:val="16"/>
    </w:rPr>
  </w:style>
  <w:style w:type="character" w:styleId="FontStyle27" w:customStyle="1">
    <w:name w:val="Font Style27"/>
    <w:basedOn w:val="DefaultParagraphFont"/>
    <w:uiPriority w:val="99"/>
    <w:qFormat/>
    <w:rPr>
      <w:rFonts w:ascii="Times New Roman" w:hAnsi="Times New Roman" w:cs="Times New Roman"/>
      <w:sz w:val="22"/>
      <w:szCs w:val="22"/>
    </w:rPr>
  </w:style>
  <w:style w:type="character" w:styleId="Hyperlink">
    <w:name w:val="Hyperlink"/>
    <w:basedOn w:val="DefaultParagraphFont"/>
    <w:uiPriority w:val="99"/>
    <w:rPr>
      <w:color w:val="0066CC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6" w:customStyle="1">
    <w:name w:val="Style1"/>
    <w:basedOn w:val="Normal"/>
    <w:uiPriority w:val="99"/>
    <w:qFormat/>
    <w:pPr>
      <w:spacing w:lineRule="exact" w:line="245"/>
      <w:jc w:val="center"/>
    </w:pPr>
    <w:rPr/>
  </w:style>
  <w:style w:type="paragraph" w:styleId="Style21" w:customStyle="1">
    <w:name w:val="Style2"/>
    <w:basedOn w:val="Normal"/>
    <w:uiPriority w:val="99"/>
    <w:qFormat/>
    <w:pPr>
      <w:spacing w:lineRule="exact" w:line="252"/>
      <w:ind w:firstLine="816"/>
    </w:pPr>
    <w:rPr/>
  </w:style>
  <w:style w:type="paragraph" w:styleId="Style31" w:customStyle="1">
    <w:name w:val="Style3"/>
    <w:basedOn w:val="Normal"/>
    <w:uiPriority w:val="99"/>
    <w:qFormat/>
    <w:pPr>
      <w:spacing w:lineRule="exact" w:line="250"/>
    </w:pPr>
    <w:rPr/>
  </w:style>
  <w:style w:type="paragraph" w:styleId="Style41" w:customStyle="1">
    <w:name w:val="Style4"/>
    <w:basedOn w:val="Normal"/>
    <w:uiPriority w:val="99"/>
    <w:qFormat/>
    <w:pPr>
      <w:spacing w:lineRule="exact" w:line="250"/>
      <w:jc w:val="both"/>
    </w:pPr>
    <w:rPr/>
  </w:style>
  <w:style w:type="paragraph" w:styleId="Style51" w:customStyle="1">
    <w:name w:val="Style5"/>
    <w:basedOn w:val="Normal"/>
    <w:uiPriority w:val="99"/>
    <w:qFormat/>
    <w:pPr>
      <w:jc w:val="both"/>
    </w:pPr>
    <w:rPr/>
  </w:style>
  <w:style w:type="paragraph" w:styleId="Style61" w:customStyle="1">
    <w:name w:val="Style6"/>
    <w:basedOn w:val="Normal"/>
    <w:uiPriority w:val="99"/>
    <w:qFormat/>
    <w:pPr>
      <w:spacing w:lineRule="exact" w:line="252"/>
      <w:ind w:firstLine="504"/>
      <w:jc w:val="both"/>
    </w:pPr>
    <w:rPr/>
  </w:style>
  <w:style w:type="paragraph" w:styleId="Style71" w:customStyle="1">
    <w:name w:val="Style7"/>
    <w:basedOn w:val="Normal"/>
    <w:uiPriority w:val="99"/>
    <w:qFormat/>
    <w:pPr>
      <w:spacing w:lineRule="exact" w:line="252"/>
      <w:ind w:firstLine="686"/>
      <w:jc w:val="both"/>
    </w:pPr>
    <w:rPr/>
  </w:style>
  <w:style w:type="paragraph" w:styleId="Style81" w:customStyle="1">
    <w:name w:val="Style8"/>
    <w:basedOn w:val="Normal"/>
    <w:uiPriority w:val="99"/>
    <w:qFormat/>
    <w:pPr/>
    <w:rPr/>
  </w:style>
  <w:style w:type="paragraph" w:styleId="Style91" w:customStyle="1">
    <w:name w:val="Style9"/>
    <w:basedOn w:val="Normal"/>
    <w:uiPriority w:val="99"/>
    <w:qFormat/>
    <w:pPr>
      <w:spacing w:lineRule="exact" w:line="278"/>
      <w:ind w:hanging="2045"/>
    </w:pPr>
    <w:rPr/>
  </w:style>
  <w:style w:type="paragraph" w:styleId="Style101" w:customStyle="1">
    <w:name w:val="Style10"/>
    <w:basedOn w:val="Normal"/>
    <w:uiPriority w:val="99"/>
    <w:qFormat/>
    <w:pPr>
      <w:spacing w:lineRule="exact" w:line="250"/>
      <w:ind w:firstLine="614"/>
    </w:pPr>
    <w:rPr/>
  </w:style>
  <w:style w:type="paragraph" w:styleId="Style111" w:customStyle="1">
    <w:name w:val="Style11"/>
    <w:basedOn w:val="Normal"/>
    <w:uiPriority w:val="99"/>
    <w:qFormat/>
    <w:pPr/>
    <w:rPr/>
  </w:style>
  <w:style w:type="paragraph" w:styleId="Style121" w:customStyle="1">
    <w:name w:val="Style12"/>
    <w:basedOn w:val="Normal"/>
    <w:uiPriority w:val="99"/>
    <w:qFormat/>
    <w:pPr/>
    <w:rPr/>
  </w:style>
  <w:style w:type="paragraph" w:styleId="Style131" w:customStyle="1">
    <w:name w:val="Style13"/>
    <w:basedOn w:val="Normal"/>
    <w:uiPriority w:val="99"/>
    <w:qFormat/>
    <w:pPr/>
    <w:rPr/>
  </w:style>
  <w:style w:type="paragraph" w:styleId="Style141" w:customStyle="1">
    <w:name w:val="Style14"/>
    <w:basedOn w:val="Normal"/>
    <w:uiPriority w:val="99"/>
    <w:qFormat/>
    <w:pPr/>
    <w:rPr/>
  </w:style>
  <w:style w:type="paragraph" w:styleId="Style151" w:customStyle="1">
    <w:name w:val="Style15"/>
    <w:basedOn w:val="Normal"/>
    <w:uiPriority w:val="99"/>
    <w:qFormat/>
    <w:pPr>
      <w:spacing w:lineRule="exact" w:line="250"/>
      <w:ind w:firstLine="686"/>
      <w:jc w:val="both"/>
    </w:pPr>
    <w:rPr/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Style17"/>
    <w:pPr/>
    <w:rPr/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Верхний колонтитул слева"/>
    <w:basedOn w:val="Header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LibreOffice/7.6.6.3$Linux_X86_64 LibreOffice_project/60$Build-3</Application>
  <AppVersion>15.0000</AppVersion>
  <Pages>3</Pages>
  <Words>1071</Words>
  <Characters>7856</Characters>
  <CharactersWithSpaces>8899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2024-08-02T10:30:00Z</dcterms:created>
  <dc:creator>ZAICEVA</dc:creator>
  <dc:description/>
  <dc:language>ru-RU</dc:language>
  <cp:lastModifiedBy/>
  <dcterms:modified xsi:type="dcterms:W3CDTF">2024-08-22T08:53:07Z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