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BCB" w:rsidRDefault="001F0BCB">
      <w:pPr>
        <w:pStyle w:val="1"/>
        <w:shd w:val="clear" w:color="auto" w:fill="auto"/>
        <w:spacing w:after="260"/>
        <w:ind w:left="1460" w:firstLine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20.25pt;margin-top:2pt;width:108.2pt;height:16pt;z-index:-125829375;mso-position-horizontal-relative:page" filled="f" stroked="f">
            <v:textbox inset="0,0,0,0">
              <w:txbxContent>
                <w:p w:rsidR="001F0BCB" w:rsidRDefault="003655AA">
                  <w:pPr>
                    <w:pStyle w:val="1"/>
                    <w:shd w:val="clear" w:color="auto" w:fill="auto"/>
                    <w:ind w:firstLine="0"/>
                  </w:pPr>
                  <w:r>
                    <w:t>Дело № 2-4068/2024</w:t>
                  </w:r>
                </w:p>
              </w:txbxContent>
            </v:textbox>
            <w10:wrap type="square" side="right" anchorx="page"/>
          </v:shape>
        </w:pict>
      </w:r>
      <w:r w:rsidR="003655AA">
        <w:t xml:space="preserve">УИД </w:t>
      </w:r>
      <w:r w:rsidR="003655AA" w:rsidRPr="004748C4">
        <w:rPr>
          <w:lang w:eastAsia="en-US" w:bidi="en-US"/>
        </w:rPr>
        <w:t>53</w:t>
      </w:r>
      <w:r w:rsidR="003655AA">
        <w:rPr>
          <w:lang w:val="en-US" w:eastAsia="en-US" w:bidi="en-US"/>
        </w:rPr>
        <w:t>RS</w:t>
      </w:r>
      <w:r w:rsidR="003655AA" w:rsidRPr="004748C4">
        <w:rPr>
          <w:lang w:eastAsia="en-US" w:bidi="en-US"/>
        </w:rPr>
        <w:t>0022-0</w:t>
      </w:r>
      <w:r w:rsidR="003655AA">
        <w:t>1-2024-004553-82</w:t>
      </w:r>
    </w:p>
    <w:p w:rsidR="001F0BCB" w:rsidRDefault="003655AA">
      <w:pPr>
        <w:pStyle w:val="1"/>
        <w:shd w:val="clear" w:color="auto" w:fill="auto"/>
        <w:ind w:firstLine="0"/>
        <w:jc w:val="center"/>
      </w:pPr>
      <w:r>
        <w:t>РЕШЕНИЕ</w:t>
      </w:r>
    </w:p>
    <w:p w:rsidR="001F0BCB" w:rsidRDefault="003655AA">
      <w:pPr>
        <w:pStyle w:val="1"/>
        <w:shd w:val="clear" w:color="auto" w:fill="auto"/>
        <w:spacing w:after="260"/>
        <w:ind w:firstLine="0"/>
        <w:jc w:val="center"/>
      </w:pPr>
      <w:r>
        <w:t>Именем Российской Федерации</w:t>
      </w:r>
    </w:p>
    <w:p w:rsidR="001F0BCB" w:rsidRDefault="003655AA">
      <w:pPr>
        <w:pStyle w:val="1"/>
        <w:shd w:val="clear" w:color="auto" w:fill="auto"/>
        <w:tabs>
          <w:tab w:val="left" w:pos="6127"/>
        </w:tabs>
        <w:spacing w:after="260"/>
        <w:ind w:left="520" w:firstLine="20"/>
      </w:pPr>
      <w:r>
        <w:t>23 мая 2024 года</w:t>
      </w:r>
      <w:r>
        <w:tab/>
        <w:t>г. Великий Новгород</w:t>
      </w:r>
    </w:p>
    <w:p w:rsidR="001F0BCB" w:rsidRDefault="003655AA">
      <w:pPr>
        <w:pStyle w:val="1"/>
        <w:shd w:val="clear" w:color="auto" w:fill="auto"/>
        <w:tabs>
          <w:tab w:val="left" w:pos="3728"/>
        </w:tabs>
        <w:ind w:left="520" w:firstLine="20"/>
      </w:pPr>
      <w:r>
        <w:t>Новгородский районный суд Новгородской области в составе: предсе</w:t>
      </w:r>
      <w:r w:rsidR="004748C4">
        <w:t>дательствующего судьи ХХХ, при секретаре ХХХ</w:t>
      </w:r>
      <w:r>
        <w:t>,</w:t>
      </w:r>
    </w:p>
    <w:p w:rsidR="001F0BCB" w:rsidRDefault="004748C4">
      <w:pPr>
        <w:pStyle w:val="1"/>
        <w:shd w:val="clear" w:color="auto" w:fill="auto"/>
        <w:ind w:firstLine="540"/>
        <w:jc w:val="both"/>
      </w:pPr>
      <w:r>
        <w:t>с участием истца ХХХ</w:t>
      </w:r>
      <w:r w:rsidR="003655AA">
        <w:t>, представителя Управления Роспотребнадзора по Новго</w:t>
      </w:r>
      <w:r>
        <w:t>родской области ХХХ</w:t>
      </w:r>
      <w:r w:rsidR="003655AA">
        <w:t>,</w:t>
      </w:r>
    </w:p>
    <w:p w:rsidR="001F0BCB" w:rsidRDefault="003655AA">
      <w:pPr>
        <w:pStyle w:val="1"/>
        <w:shd w:val="clear" w:color="auto" w:fill="auto"/>
        <w:ind w:firstLine="540"/>
        <w:jc w:val="both"/>
      </w:pPr>
      <w:r>
        <w:t>рассмотрев в открытом судебном заседании гражданское дело по иску Управления Роспотребнадзора по Новгород</w:t>
      </w:r>
      <w:r w:rsidR="004748C4">
        <w:t>ской области в интересах ХХХ к Публичному акционерному обществу ХХХ</w:t>
      </w:r>
      <w:r>
        <w:t xml:space="preserve"> о возложении обязанности выполнить технологическое присоединение к электрическим сетям,</w:t>
      </w:r>
    </w:p>
    <w:p w:rsidR="001F0BCB" w:rsidRDefault="003655AA">
      <w:pPr>
        <w:pStyle w:val="1"/>
        <w:shd w:val="clear" w:color="auto" w:fill="auto"/>
        <w:ind w:firstLine="0"/>
        <w:jc w:val="center"/>
      </w:pPr>
      <w:r>
        <w:t>установил:</w:t>
      </w:r>
    </w:p>
    <w:p w:rsidR="001F0BCB" w:rsidRDefault="003655AA">
      <w:pPr>
        <w:pStyle w:val="1"/>
        <w:shd w:val="clear" w:color="auto" w:fill="auto"/>
        <w:ind w:firstLine="540"/>
        <w:jc w:val="both"/>
      </w:pPr>
      <w:r>
        <w:t>Управление Роспотребнадзора по Новгородской области (далее по тексту также - Упр</w:t>
      </w:r>
      <w:r>
        <w:t>авление) обратилось в суд с и</w:t>
      </w:r>
      <w:r w:rsidR="004748C4">
        <w:t>ском в интересах ХХХ</w:t>
      </w:r>
      <w:r>
        <w:t xml:space="preserve"> к Публичному акционерному</w:t>
      </w:r>
      <w:r w:rsidR="004748C4">
        <w:t xml:space="preserve"> обществу ХХХ</w:t>
      </w:r>
      <w:r>
        <w:t xml:space="preserve"> (сокращенное наименова</w:t>
      </w:r>
      <w:r w:rsidR="004748C4">
        <w:t>ние - ПАО ХХХ</w:t>
      </w:r>
      <w:r>
        <w:t>, далее по тексту также - Общество) о возложении обязанности по осуществлению меро</w:t>
      </w:r>
      <w:r>
        <w:t xml:space="preserve">приятий по технологическому присоединению к электрическим сетям, указав в обоснование заявления на ненадлежащее исполнение ответчиком обязательств по договору </w:t>
      </w:r>
      <w:r w:rsidR="004748C4">
        <w:t xml:space="preserve">                                  </w:t>
      </w:r>
      <w:r w:rsidR="0063494F">
        <w:t>№ НОВ-03441-Э-</w:t>
      </w:r>
      <w:r>
        <w:t xml:space="preserve">И/23 об осуществлении технологического присоединения </w:t>
      </w:r>
      <w:r w:rsidR="004748C4">
        <w:t xml:space="preserve"> </w:t>
      </w:r>
      <w:r>
        <w:t>к электрическим сетям.</w:t>
      </w:r>
    </w:p>
    <w:p w:rsidR="001F0BCB" w:rsidRDefault="003655AA">
      <w:pPr>
        <w:pStyle w:val="1"/>
        <w:shd w:val="clear" w:color="auto" w:fill="auto"/>
        <w:ind w:firstLine="540"/>
        <w:jc w:val="both"/>
      </w:pPr>
      <w:r>
        <w:t>Суд, р</w:t>
      </w:r>
      <w:r>
        <w:t>уководствуясь ст. 167 Г11К РФ, счел возможным рассмотреть дело в отсутствие представителя ответчика, извещенного надлежащим образом.</w:t>
      </w:r>
    </w:p>
    <w:p w:rsidR="001F0BCB" w:rsidRDefault="003655AA">
      <w:pPr>
        <w:pStyle w:val="1"/>
        <w:shd w:val="clear" w:color="auto" w:fill="auto"/>
        <w:ind w:firstLine="540"/>
        <w:jc w:val="both"/>
      </w:pPr>
      <w:r>
        <w:t xml:space="preserve">Заслушав </w:t>
      </w:r>
      <w:r w:rsidR="004748C4">
        <w:t>объяснения истца ХХХ</w:t>
      </w:r>
      <w:r>
        <w:t>, представи</w:t>
      </w:r>
      <w:r w:rsidR="004748C4">
        <w:t>теля Управления ХХХ</w:t>
      </w:r>
      <w:r>
        <w:t xml:space="preserve">, поддержавших исковые требования по </w:t>
      </w:r>
      <w:r>
        <w:t>мотивам, изложенным в исковом заявлении, исследовав письменные материалы дела, суд приходит к следующему.</w:t>
      </w:r>
    </w:p>
    <w:p w:rsidR="001F0BCB" w:rsidRDefault="003655AA">
      <w:pPr>
        <w:pStyle w:val="1"/>
        <w:shd w:val="clear" w:color="auto" w:fill="auto"/>
        <w:ind w:firstLine="540"/>
        <w:jc w:val="both"/>
      </w:pPr>
      <w:r>
        <w:t>Согласно ст. 309 Гражданского кодекса Российской Федерации (далее по тексту также - ГК РФ) обязательства должны исполняться надлежащим образом в соотв</w:t>
      </w:r>
      <w:r>
        <w:t>етствии с условиями обязательства и требованиями закона, иных правовых актов.</w:t>
      </w:r>
    </w:p>
    <w:p w:rsidR="001F0BCB" w:rsidRDefault="003655AA">
      <w:pPr>
        <w:pStyle w:val="1"/>
        <w:shd w:val="clear" w:color="auto" w:fill="auto"/>
        <w:ind w:firstLine="540"/>
        <w:jc w:val="both"/>
      </w:pPr>
      <w:r>
        <w:t>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 РФ).</w:t>
      </w:r>
    </w:p>
    <w:p w:rsidR="00E27C9D" w:rsidRDefault="003655AA" w:rsidP="00E27C9D">
      <w:pPr>
        <w:pStyle w:val="1"/>
        <w:shd w:val="clear" w:color="auto" w:fill="auto"/>
        <w:ind w:firstLine="539"/>
        <w:jc w:val="both"/>
      </w:pPr>
      <w:r>
        <w:t>Как установ</w:t>
      </w:r>
      <w:r>
        <w:t>лено судом из объяснений участвующих в деле лиц, письменных материалов дела, 03 августа 2022 года между Обществом (испол</w:t>
      </w:r>
      <w:r w:rsidR="00E27C9D">
        <w:t>нитель) и истцом ХХХ</w:t>
      </w:r>
      <w:r>
        <w:t xml:space="preserve"> (заказчик) был заключен договор № НОВ-03441-Э-И/22 об осуществлении технологического присоединения энер</w:t>
      </w:r>
      <w:r>
        <w:t>гопринимающих устройств к электрическим сетям Общества (далее по тексту также - Договор), по условиям которого Общество обязалось в соответствии с Техническими условиями (Приложение №1 к договору, далее по тексту также - ТУ) осуществить мероприятия по техн</w:t>
      </w:r>
      <w:r>
        <w:t>ологическому присоединению к своим электрическим сетям энергопринимающих устройств на земельном участке с кадас</w:t>
      </w:r>
      <w:r w:rsidR="00582E15">
        <w:t>тровым номером ххх</w:t>
      </w:r>
      <w:r>
        <w:t>, расположенном по адресу: Новгородская область, Новгородский</w:t>
      </w:r>
      <w:r w:rsidR="00E27C9D">
        <w:t xml:space="preserve"> </w:t>
      </w:r>
      <w:r>
        <w:t>район, д. Милославское. Размер платы за техноло</w:t>
      </w:r>
      <w:r w:rsidR="00E27C9D">
        <w:t xml:space="preserve">гическое </w:t>
      </w:r>
      <w:r>
        <w:t>присоединение</w:t>
      </w:r>
      <w:r w:rsidR="00E27C9D">
        <w:t xml:space="preserve"> составляет ххх</w:t>
      </w:r>
      <w:r>
        <w:t xml:space="preserve"> руб. Во исполнение обязательств по оплате работ истцом 03 августа </w:t>
      </w:r>
      <w:r w:rsidR="00E27C9D">
        <w:t xml:space="preserve">2022 года уплачено ответчику ххх </w:t>
      </w:r>
      <w:r>
        <w:t>руб.</w:t>
      </w:r>
    </w:p>
    <w:p w:rsidR="001F0BCB" w:rsidRDefault="003655AA" w:rsidP="00E27C9D">
      <w:pPr>
        <w:pStyle w:val="1"/>
        <w:shd w:val="clear" w:color="auto" w:fill="auto"/>
        <w:ind w:firstLine="539"/>
        <w:jc w:val="both"/>
      </w:pPr>
      <w:r>
        <w:t>Исходя из п. 18 Правил технологического присоединения энергопринимающих устройств потребителей электрической энерг</w:t>
      </w:r>
      <w:r>
        <w:t xml:space="preserve">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</w:t>
      </w:r>
      <w:r>
        <w:lastRenderedPageBreak/>
        <w:t>Постановлением Правительства РФ от 27 декабря 2004 года № 861 (далее по тек</w:t>
      </w:r>
      <w:r>
        <w:t>сту также - Правила), в редакции, действовавшей на дату заключения сторонами договора, мероприятия по технологическому присоединению включают в себя, в частности, разработку сетевой организацией проектной документации согласно обязательствам, предусмотренн</w:t>
      </w:r>
      <w:r>
        <w:t xml:space="preserve">ым техническими условиями; выполнение технических условий заявителем и сетевой организацией, включая осуществление сетевой организацией мероприятий по подключению энергопринимающих устройств под действие аппаратуры противоаварийной и режимной автоматики в </w:t>
      </w:r>
      <w:r>
        <w:t>соответствии с техническими условиями; проверку выполнения заявителем и сетевой организацией технических условий в соответствии с разделом IX настоящих Правил, а также допуск к эксплуатации установленного в процессе технологического присоединения прибора у</w:t>
      </w:r>
      <w:r>
        <w:t>чета электрической энергии, включающий составление акта допуска прибора учета к эксплуатации в порядке, предусмотренном Основными положениями функционирования розничных рынков электрической энергии; осмотр (обследование) присоединяемых энергопринимающих ус</w:t>
      </w:r>
      <w:r>
        <w:t>тройств должностным лицом органа федерального государственного энергетического надзора при участии сетевой организации и собственника таких устройств, а также соответствующего субъекта оперативно</w:t>
      </w:r>
      <w:r>
        <w:softHyphen/>
        <w:t>диспетчерского управления в случае, если технические условия</w:t>
      </w:r>
      <w:r>
        <w:t xml:space="preserve"> подлежат в соответствии с настоящими Правилами согласованию с таким субъектом оперативно-диспетчерского управления (за исключением заявителей, указанных в пункте 12 настоящих Правил, в случае осуществления технологического присоединения их энергопринимающ</w:t>
      </w:r>
      <w:r>
        <w:t xml:space="preserve">их устройств к электрическим сетям классом напряжения до 10 кВ включительно и заявителей, указанных в пунктах 12(1), 13 и 14 настоящих Правил), с выдачей заявителю акта осмотра (обследования) электроустановки по форме согласно приложению </w:t>
      </w:r>
      <w:r>
        <w:rPr>
          <w:lang w:val="en-US" w:eastAsia="en-US" w:bidi="en-US"/>
        </w:rPr>
        <w:t>N</w:t>
      </w:r>
      <w:r w:rsidRPr="004748C4">
        <w:rPr>
          <w:lang w:eastAsia="en-US" w:bidi="en-US"/>
        </w:rPr>
        <w:t xml:space="preserve"> </w:t>
      </w:r>
      <w:r>
        <w:t>9 (далее - акт о</w:t>
      </w:r>
      <w:r>
        <w:t>смотра (обследования) электроустановки); осуществление сетевой организацией фактического присоединения объектов заявителя к электрическим сетям и включение коммутационного аппарата (фиксация коммутационного аппарата в положении "включено”).</w:t>
      </w:r>
    </w:p>
    <w:p w:rsidR="00E27C9D" w:rsidRDefault="003655AA" w:rsidP="00E27C9D">
      <w:pPr>
        <w:pStyle w:val="1"/>
        <w:shd w:val="clear" w:color="auto" w:fill="auto"/>
        <w:ind w:firstLine="0"/>
        <w:jc w:val="both"/>
      </w:pPr>
      <w:r>
        <w:t>В соответствии с п. 16.3 Правил (в редакции, действовавшей на дату заключения договора) обязательства сторон по выполнению мероприятий по технологическому присоединению в случае заключения договора с лицами, указанными в пунктах</w:t>
      </w:r>
      <w:r>
        <w:t xml:space="preserve"> 12.1 - 14 и 34 настоящих Правил, распределяются следующим образом: заявитель исполняет указанные обязательства в пределах границ участка, на котором расположены присоединяемые энергопринимающие устройства заявителя; сетевая организация исполняет указанные</w:t>
      </w:r>
      <w:r>
        <w:t xml:space="preserve"> обязательства (в том числе в части урегулирования отношений с иными лицами) до границ участка, на котором расположены присоединяемые энергопринимающие устройства заявителя.</w:t>
      </w:r>
      <w:r w:rsidR="00E27C9D" w:rsidRPr="00E27C9D">
        <w:t xml:space="preserve"> </w:t>
      </w:r>
      <w:r w:rsidR="00E27C9D">
        <w:t>Из объяснений лиц, участвующих в деле, письменных материалов дела судом установлено, что мероприятия по технологическому присоединению Обществом до настоящего времени не произведены.</w:t>
      </w:r>
    </w:p>
    <w:p w:rsidR="00E27C9D" w:rsidRDefault="00E27C9D" w:rsidP="00E27C9D">
      <w:pPr>
        <w:pStyle w:val="1"/>
        <w:shd w:val="clear" w:color="auto" w:fill="auto"/>
        <w:ind w:left="240" w:firstLine="520"/>
        <w:jc w:val="both"/>
      </w:pPr>
      <w:r>
        <w:t>С учетом установленных обстоятельств и приведенных положений материального права суд приходит к выводу о том, что исковые требования Управления в интересах истца ХХХ о возложении на ответчика обязанности выполнить в соответствии с вышепоименованным договором</w:t>
      </w:r>
    </w:p>
    <w:p w:rsidR="00E27C9D" w:rsidRDefault="00E27C9D" w:rsidP="00E27C9D">
      <w:pPr>
        <w:pStyle w:val="1"/>
        <w:shd w:val="clear" w:color="auto" w:fill="auto"/>
        <w:ind w:left="240" w:firstLine="20"/>
        <w:jc w:val="both"/>
      </w:pPr>
      <w:r>
        <w:t>мероприятия по технологическому присоединению к электрическим сетям энергопринимающих устройств основаны на законе и подлежат удовлетворению.</w:t>
      </w:r>
    </w:p>
    <w:p w:rsidR="00E27C9D" w:rsidRDefault="00E27C9D" w:rsidP="00E27C9D">
      <w:pPr>
        <w:pStyle w:val="1"/>
        <w:shd w:val="clear" w:color="auto" w:fill="auto"/>
        <w:ind w:left="240" w:firstLine="520"/>
        <w:jc w:val="both"/>
      </w:pPr>
      <w:r>
        <w:t>Принимая во внимание объем подлежащих выполнению работ, суд считает возможным установить ответчику тридцатидневный срок со дня вступления решения суда в законную силу для их выполнения. Оснований для предоставления ответчику более продолжительного срока для исполнения обязательства по осуществлению мероприятий по технологическому присоединения судом не установлено, в связи с чем доводы ответчика в указанной части судом отклоняются</w:t>
      </w:r>
    </w:p>
    <w:p w:rsidR="00E27C9D" w:rsidRDefault="00E27C9D" w:rsidP="00E27C9D">
      <w:pPr>
        <w:pStyle w:val="1"/>
        <w:shd w:val="clear" w:color="auto" w:fill="auto"/>
        <w:spacing w:line="254" w:lineRule="auto"/>
        <w:ind w:firstLine="240"/>
        <w:jc w:val="both"/>
      </w:pPr>
      <w:r>
        <w:lastRenderedPageBreak/>
        <w:t>как несостоятельные.</w:t>
      </w:r>
    </w:p>
    <w:p w:rsidR="00E27C9D" w:rsidRDefault="00E27C9D" w:rsidP="00E27C9D">
      <w:pPr>
        <w:pStyle w:val="1"/>
        <w:shd w:val="clear" w:color="auto" w:fill="auto"/>
        <w:ind w:firstLine="0"/>
        <w:jc w:val="center"/>
      </w:pPr>
      <w:r>
        <w:t>3</w:t>
      </w:r>
    </w:p>
    <w:p w:rsidR="00E27C9D" w:rsidRDefault="00E27C9D" w:rsidP="00E27C9D">
      <w:pPr>
        <w:pStyle w:val="1"/>
        <w:shd w:val="clear" w:color="auto" w:fill="auto"/>
        <w:spacing w:line="254" w:lineRule="auto"/>
        <w:ind w:left="240" w:firstLine="520"/>
        <w:jc w:val="both"/>
      </w:pPr>
      <w:r>
        <w:t>В соответствии со ст. 103 ГПК РФ с ответчика Общества в местный бюджет надлежит взыскать в возмещение расходов по уплате государственной пошлины 300 руб.</w:t>
      </w:r>
    </w:p>
    <w:p w:rsidR="00E27C9D" w:rsidRDefault="00E27C9D" w:rsidP="00E27C9D">
      <w:pPr>
        <w:pStyle w:val="1"/>
        <w:shd w:val="clear" w:color="auto" w:fill="auto"/>
        <w:spacing w:line="228" w:lineRule="auto"/>
        <w:ind w:firstLine="740"/>
        <w:jc w:val="both"/>
      </w:pPr>
      <w:r>
        <w:t>Руководствуясь ст. ст. 194-199 ГИК РФ, суд</w:t>
      </w:r>
    </w:p>
    <w:p w:rsidR="00E27C9D" w:rsidRDefault="00E27C9D" w:rsidP="00E27C9D">
      <w:pPr>
        <w:pStyle w:val="1"/>
        <w:shd w:val="clear" w:color="auto" w:fill="auto"/>
        <w:ind w:firstLine="0"/>
        <w:jc w:val="center"/>
      </w:pPr>
      <w:r>
        <w:t>решил:</w:t>
      </w:r>
    </w:p>
    <w:p w:rsidR="00E27C9D" w:rsidRDefault="00E27C9D" w:rsidP="00E27C9D">
      <w:pPr>
        <w:pStyle w:val="1"/>
        <w:shd w:val="clear" w:color="auto" w:fill="auto"/>
        <w:ind w:left="240" w:firstLine="520"/>
        <w:jc w:val="both"/>
      </w:pPr>
      <w:r>
        <w:t>Исковые требования Управления Роспотребнадзора по Новгородской области в интересах ХХХ (СНИЛС ххх) к Публичному акционерному обществу ХХХ (ИНН ххх) удовлетворить.</w:t>
      </w:r>
    </w:p>
    <w:p w:rsidR="00E27C9D" w:rsidRDefault="00E27C9D" w:rsidP="00E27C9D">
      <w:pPr>
        <w:pStyle w:val="1"/>
        <w:shd w:val="clear" w:color="auto" w:fill="auto"/>
        <w:ind w:left="240" w:firstLine="520"/>
        <w:jc w:val="both"/>
      </w:pPr>
      <w:r>
        <w:t>Обязать Публичное акционерное общество ХХХ в тридцатидневный срок со дня вступления решения суда в законную силу выполнить в соответствии с договором № НОВ-03441-Э-И/22 об осуществлении технологического присоединения к электрическим сетям, заключенным с ХХХ, мероприятия по технологическому присоединению к электрическим сетям энергопринимающих устройств на земельном участке с кадастровым номером ххх, расположенном по адресу: Новгородская область, Новгородский район, д. Милославское.</w:t>
      </w:r>
    </w:p>
    <w:p w:rsidR="00E27C9D" w:rsidRDefault="00E27C9D" w:rsidP="00E27C9D">
      <w:pPr>
        <w:pStyle w:val="1"/>
        <w:shd w:val="clear" w:color="auto" w:fill="auto"/>
        <w:ind w:left="240" w:firstLine="520"/>
        <w:jc w:val="both"/>
      </w:pPr>
      <w:r>
        <w:pict>
          <v:shape id="_x0000_s1048" type="#_x0000_t202" style="position:absolute;left:0;text-align:left;margin-left:100.2pt;margin-top:40pt;width:442.25pt;height:58.15pt;z-index:-125826303;mso-wrap-distance-left:0;mso-wrap-distance-right:0;mso-position-horizontal-relative:page" filled="f" stroked="f">
            <v:textbox inset="0,0,0,0">
              <w:txbxContent>
                <w:p w:rsidR="00E27C9D" w:rsidRDefault="00E27C9D" w:rsidP="00E27C9D">
                  <w:pPr>
                    <w:pStyle w:val="1"/>
                    <w:shd w:val="clear" w:color="auto" w:fill="auto"/>
                    <w:ind w:firstLine="520"/>
                    <w:jc w:val="both"/>
                  </w:pPr>
                  <w:r>
                    <w:t>На решение лицами, участвующими в деле, может быть подана апелляционная жалоба в Судебную коллегию по гражданским делам Новгородского областного суда через Новгородский районный суд Новгородской области в течение месяца со дня составления мотивированного решения - 24 мая 2024 года.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7" type="#_x0000_t202" style="position:absolute;left:0;text-align:left;margin-left:125.55pt;margin-top:110.3pt;width:128.9pt;height:16.4pt;z-index:377489153;mso-wrap-distance-left:0;mso-wrap-distance-right:0;mso-position-horizontal-relative:page" filled="f" stroked="f">
            <v:textbox inset="0,0,0,0">
              <w:txbxContent>
                <w:p w:rsidR="00E27C9D" w:rsidRDefault="00E27C9D" w:rsidP="00E27C9D">
                  <w:pPr>
                    <w:pStyle w:val="a5"/>
                    <w:shd w:val="clear" w:color="auto" w:fill="auto"/>
                  </w:pPr>
                  <w:r>
                    <w:t>Председательствующий</w:t>
                  </w:r>
                </w:p>
              </w:txbxContent>
            </v:textbox>
            <w10:wrap anchorx="page"/>
          </v:shape>
        </w:pict>
      </w:r>
      <w:r>
        <w:pict>
          <v:shape id="_x0000_s1049" type="#_x0000_t202" style="position:absolute;left:0;text-align:left;margin-left:403.85pt;margin-top:109pt;width:96.65pt;height:16.2pt;z-index:-125825279;mso-wrap-distance-left:324pt;mso-wrap-distance-bottom:67.85pt;mso-position-horizontal-relative:page" filled="f" stroked="f">
            <v:textbox inset="0,0,0,0">
              <w:txbxContent>
                <w:p w:rsidR="00E27C9D" w:rsidRDefault="00E27C9D" w:rsidP="00E27C9D">
                  <w:pPr>
                    <w:pStyle w:val="1"/>
                    <w:shd w:val="clear" w:color="auto" w:fill="auto"/>
                    <w:ind w:firstLine="0"/>
                    <w:jc w:val="right"/>
                  </w:pPr>
                  <w:r>
                    <w:rPr>
                      <w:color w:val="3575A5"/>
                    </w:rPr>
                    <w:t xml:space="preserve"> </w:t>
                  </w:r>
                  <w:r>
                    <w:t>ХХХ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50" type="#_x0000_t202" style="position:absolute;left:0;text-align:left;margin-left:88.85pt;margin-top:173.8pt;width:189.35pt;height:19.25pt;z-index:-125824255;mso-wrap-distance-top:64.8pt;mso-wrap-distance-right:231.3pt;mso-position-horizontal-relative:page" filled="f" stroked="f">
            <v:textbox inset="0,0,0,0">
              <w:txbxContent>
                <w:p w:rsidR="00E27C9D" w:rsidRPr="00E27C9D" w:rsidRDefault="00E27C9D" w:rsidP="00E27C9D"/>
              </w:txbxContent>
            </v:textbox>
            <w10:wrap type="topAndBottom" anchorx="page"/>
          </v:shape>
        </w:pict>
      </w:r>
      <w:r>
        <w:t>Взыскать с Публичного акционерного общества ХХХ в местный бюджет в возмещение расходов по уплате государственной пошлин ххх руб.</w:t>
      </w:r>
    </w:p>
    <w:p w:rsidR="001F0BCB" w:rsidRDefault="001F0BCB">
      <w:pPr>
        <w:pStyle w:val="1"/>
        <w:shd w:val="clear" w:color="auto" w:fill="auto"/>
        <w:ind w:firstLine="540"/>
        <w:jc w:val="both"/>
        <w:sectPr w:rsidR="001F0BCB">
          <w:pgSz w:w="11900" w:h="16840"/>
          <w:pgMar w:top="1627" w:right="1040" w:bottom="1074" w:left="1777" w:header="1199" w:footer="646" w:gutter="0"/>
          <w:pgNumType w:start="1"/>
          <w:cols w:space="720"/>
          <w:noEndnote/>
          <w:docGrid w:linePitch="360"/>
        </w:sectPr>
      </w:pPr>
    </w:p>
    <w:p w:rsidR="001F0BCB" w:rsidRDefault="001F0BCB">
      <w:pPr>
        <w:spacing w:before="79" w:after="79" w:line="240" w:lineRule="exact"/>
        <w:rPr>
          <w:sz w:val="19"/>
          <w:szCs w:val="19"/>
        </w:rPr>
      </w:pPr>
    </w:p>
    <w:p w:rsidR="001F0BCB" w:rsidRDefault="001F0BCB">
      <w:pPr>
        <w:spacing w:line="1" w:lineRule="exact"/>
        <w:sectPr w:rsidR="001F0BCB">
          <w:footerReference w:type="default" r:id="rId6"/>
          <w:type w:val="continuous"/>
          <w:pgSz w:w="11900" w:h="16840"/>
          <w:pgMar w:top="1667" w:right="0" w:bottom="2091" w:left="0" w:header="0" w:footer="3" w:gutter="0"/>
          <w:cols w:space="720"/>
          <w:noEndnote/>
          <w:docGrid w:linePitch="360"/>
        </w:sectPr>
      </w:pPr>
    </w:p>
    <w:p w:rsidR="001F0BCB" w:rsidRDefault="001F0BCB">
      <w:pPr>
        <w:spacing w:line="1" w:lineRule="exact"/>
      </w:pPr>
    </w:p>
    <w:p w:rsidR="001F0BCB" w:rsidRDefault="001F0BCB">
      <w:pPr>
        <w:spacing w:line="1" w:lineRule="exact"/>
        <w:sectPr w:rsidR="001F0BCB">
          <w:type w:val="continuous"/>
          <w:pgSz w:w="11900" w:h="16840"/>
          <w:pgMar w:top="1667" w:right="1105" w:bottom="2091" w:left="1575" w:header="0" w:footer="3" w:gutter="0"/>
          <w:cols w:space="720"/>
          <w:noEndnote/>
          <w:docGrid w:linePitch="360"/>
        </w:sectPr>
      </w:pPr>
    </w:p>
    <w:p w:rsidR="001F0BCB" w:rsidRDefault="001F0BCB">
      <w:pPr>
        <w:spacing w:line="360" w:lineRule="exact"/>
      </w:pPr>
    </w:p>
    <w:p w:rsidR="001F0BCB" w:rsidRDefault="001F0BCB">
      <w:pPr>
        <w:spacing w:line="360" w:lineRule="exact"/>
      </w:pPr>
    </w:p>
    <w:p w:rsidR="001F0BCB" w:rsidRDefault="001F0BCB">
      <w:pPr>
        <w:spacing w:line="360" w:lineRule="exact"/>
      </w:pPr>
    </w:p>
    <w:p w:rsidR="001F0BCB" w:rsidRDefault="001F0BCB">
      <w:pPr>
        <w:spacing w:line="360" w:lineRule="exact"/>
      </w:pPr>
    </w:p>
    <w:p w:rsidR="001F0BCB" w:rsidRDefault="001F0BCB">
      <w:pPr>
        <w:spacing w:after="568" w:line="1" w:lineRule="exact"/>
      </w:pPr>
    </w:p>
    <w:p w:rsidR="001F0BCB" w:rsidRDefault="001F0BCB">
      <w:pPr>
        <w:spacing w:line="1" w:lineRule="exact"/>
      </w:pPr>
    </w:p>
    <w:sectPr w:rsidR="001F0BCB" w:rsidSect="001F0BCB">
      <w:footerReference w:type="default" r:id="rId7"/>
      <w:type w:val="continuous"/>
      <w:pgSz w:w="16840" w:h="11900" w:orient="landscape"/>
      <w:pgMar w:top="706" w:right="7196" w:bottom="706" w:left="644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5AA" w:rsidRDefault="003655AA" w:rsidP="001F0BCB">
      <w:r>
        <w:separator/>
      </w:r>
    </w:p>
  </w:endnote>
  <w:endnote w:type="continuationSeparator" w:id="1">
    <w:p w:rsidR="003655AA" w:rsidRDefault="003655AA" w:rsidP="001F0B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CB" w:rsidRDefault="001F0BCB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2pt;margin-top:730.4pt;width:2pt;height:7.55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1F0BCB" w:rsidRDefault="003655AA">
                <w:pPr>
                  <w:pStyle w:val="20"/>
                  <w:shd w:val="clear" w:color="auto" w:fill="auto"/>
                </w:pPr>
                <w:r>
                  <w:rPr>
                    <w:rFonts w:ascii="Arial" w:eastAsia="Arial" w:hAnsi="Arial" w:cs="Arial"/>
                    <w:color w:val="80B7E5"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CB" w:rsidRDefault="001F0BC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5AA" w:rsidRDefault="003655AA"/>
  </w:footnote>
  <w:footnote w:type="continuationSeparator" w:id="1">
    <w:p w:rsidR="003655AA" w:rsidRDefault="003655A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1F0BCB"/>
    <w:rsid w:val="001F0BCB"/>
    <w:rsid w:val="003655AA"/>
    <w:rsid w:val="004748C4"/>
    <w:rsid w:val="00582E15"/>
    <w:rsid w:val="0063494F"/>
    <w:rsid w:val="00E27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0BC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F0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картинке_"/>
    <w:basedOn w:val="a0"/>
    <w:link w:val="a5"/>
    <w:rsid w:val="001F0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1F0BCB"/>
    <w:rPr>
      <w:rFonts w:ascii="Arial" w:eastAsia="Arial" w:hAnsi="Arial" w:cs="Arial"/>
      <w:b w:val="0"/>
      <w:bCs w:val="0"/>
      <w:i w:val="0"/>
      <w:iCs w:val="0"/>
      <w:smallCaps w:val="0"/>
      <w:strike w:val="0"/>
      <w:color w:val="3575A5"/>
      <w:sz w:val="15"/>
      <w:szCs w:val="15"/>
      <w:u w:val="none"/>
    </w:rPr>
  </w:style>
  <w:style w:type="character" w:customStyle="1" w:styleId="2">
    <w:name w:val="Колонтитул (2)_"/>
    <w:basedOn w:val="a0"/>
    <w:link w:val="20"/>
    <w:rsid w:val="001F0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1F0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575A5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1F0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sid w:val="001F0BCB"/>
    <w:rPr>
      <w:rFonts w:ascii="Arial" w:eastAsia="Arial" w:hAnsi="Arial" w:cs="Arial"/>
      <w:b/>
      <w:bCs/>
      <w:i w:val="0"/>
      <w:iCs w:val="0"/>
      <w:smallCaps w:val="0"/>
      <w:strike w:val="0"/>
      <w:sz w:val="10"/>
      <w:szCs w:val="10"/>
      <w:u w:val="none"/>
    </w:rPr>
  </w:style>
  <w:style w:type="paragraph" w:customStyle="1" w:styleId="1">
    <w:name w:val="Основной текст1"/>
    <w:basedOn w:val="a"/>
    <w:link w:val="a3"/>
    <w:rsid w:val="001F0BCB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Подпись к картинке"/>
    <w:basedOn w:val="a"/>
    <w:link w:val="a4"/>
    <w:rsid w:val="001F0BCB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1F0BCB"/>
    <w:pPr>
      <w:shd w:val="clear" w:color="auto" w:fill="FFFFFF"/>
    </w:pPr>
    <w:rPr>
      <w:rFonts w:ascii="Arial" w:eastAsia="Arial" w:hAnsi="Arial" w:cs="Arial"/>
      <w:color w:val="3575A5"/>
      <w:sz w:val="15"/>
      <w:szCs w:val="15"/>
    </w:rPr>
  </w:style>
  <w:style w:type="paragraph" w:customStyle="1" w:styleId="20">
    <w:name w:val="Колонтитул (2)"/>
    <w:basedOn w:val="a"/>
    <w:link w:val="2"/>
    <w:rsid w:val="001F0BC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1F0BCB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color w:val="3575A5"/>
      <w:sz w:val="28"/>
      <w:szCs w:val="28"/>
    </w:rPr>
  </w:style>
  <w:style w:type="paragraph" w:customStyle="1" w:styleId="22">
    <w:name w:val="Основной текст (2)"/>
    <w:basedOn w:val="a"/>
    <w:link w:val="21"/>
    <w:rsid w:val="001F0BCB"/>
    <w:pPr>
      <w:shd w:val="clear" w:color="auto" w:fill="FFFFFF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40">
    <w:name w:val="Основной текст (4)"/>
    <w:basedOn w:val="a"/>
    <w:link w:val="4"/>
    <w:rsid w:val="001F0BCB"/>
    <w:pPr>
      <w:shd w:val="clear" w:color="auto" w:fill="FFFFFF"/>
    </w:pPr>
    <w:rPr>
      <w:rFonts w:ascii="Arial" w:eastAsia="Arial" w:hAnsi="Arial" w:cs="Arial"/>
      <w:b/>
      <w:bCs/>
      <w:sz w:val="10"/>
      <w:szCs w:val="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1175</Words>
  <Characters>6703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5</cp:revision>
  <dcterms:created xsi:type="dcterms:W3CDTF">2024-08-12T09:50:00Z</dcterms:created>
  <dcterms:modified xsi:type="dcterms:W3CDTF">2024-08-12T11:03:00Z</dcterms:modified>
</cp:coreProperties>
</file>