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Дело №</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27RS0№-79</w:t>
      </w:r>
    </w:p>
    <w:p w:rsidR="00E1287B" w:rsidRPr="00E1287B" w:rsidRDefault="00E1287B" w:rsidP="00E1287B">
      <w:pPr>
        <w:shd w:val="clear" w:color="auto" w:fill="FFFFFF"/>
        <w:spacing w:after="0" w:line="240" w:lineRule="auto"/>
        <w:ind w:firstLine="720"/>
        <w:jc w:val="center"/>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РЕШЕНИЕ</w:t>
      </w:r>
    </w:p>
    <w:p w:rsidR="00E1287B" w:rsidRPr="00E1287B" w:rsidRDefault="00E1287B" w:rsidP="00E1287B">
      <w:pPr>
        <w:shd w:val="clear" w:color="auto" w:fill="FFFFFF"/>
        <w:spacing w:after="0" w:line="240" w:lineRule="auto"/>
        <w:ind w:firstLine="720"/>
        <w:jc w:val="center"/>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Именем Российской Федерации</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&lt;адрес&gt;                                                                                                    20 октября 2022 года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Железнодорожный районный суд &lt;адрес&gt; в составе:</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председательствующего судьи Цуриковой Т.А.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при секретаре ФИО2, помощнике судьи ФИО3,</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 участием истца ФИО4,</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рассмотрев в открытом судебном заседании гражданское дело по исковому заявлению ФИО1 к Обществу с ограниченной ответственностью «Реновация» о взыскании неустойки (пени) за нарушение срока передачи недвижимого имущества,</w:t>
      </w:r>
    </w:p>
    <w:p w:rsidR="00E1287B" w:rsidRPr="00E1287B" w:rsidRDefault="00E1287B" w:rsidP="00E1287B">
      <w:pPr>
        <w:shd w:val="clear" w:color="auto" w:fill="FFFFFF"/>
        <w:spacing w:after="0" w:line="240" w:lineRule="auto"/>
        <w:ind w:firstLine="720"/>
        <w:jc w:val="center"/>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УСТАНОВИЛ:</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ФИО1 обратился с иском ООО «Реновация» о взыскании неустойки (пени) за нарушение срока передачи недвижимого имущества, указав, что ДД.ММ.ГГГГ между ним с одной стороны и ООО «Реновация» с другой стороны был заключен договор купли-продажи недвижимого имущества № Н-33319, зарегистрированный управлением Федеральной службы государственной регистрации, кадастра и картографии по &lt;адрес&gt; ДД.ММ.ГГГГ, согласно которому Ответчик обязался передать Истцу в собственность, а Истец обязался принять в собственность и оплатить недвижимое имущество, находящееся в здании по адресу &lt;адрес&gt;, стр. 3, общей площадью 19,5 кв.м, этаж 3, комната 319, кадастровый №, а также по 17/10 00. долей в праве общей собственности мест общего пользования на нежилые помещения, расположенные по адресу &lt;адрес&gt;, стр. 3, с кадастровыми номерами 77:01:0006036:2509, 77:01:0006036:2078, 77:01:0006036:2142, 77:01:0006036:2199, 77:01:0006036:2268, 77:01:0006036:2329, 77:01:0006036:2370, 77:01:0006036:2595, 77:01:0006036:2596, 77:01:0006036:2597, 77:01:0006036:2598, 77:01:0006036:2599, 77:01:0006036:2600. долей в праве общей собственности мест общего пользования на нежилые помещения, расположенные по адресу &lt;адрес&gt;, стр. 3, с кадастровыми номерами 77:01:0006036:2509, 77:01:0006036:2078, 77:01:0006036:2142, 77:01:0006036:2199, 77:01:0006036:2268, 77:01:0006036:2329, 77:01:0006036:2370, 77:01:0006036:2595, 77:01:0006036:2596, 77:01:0006036:2597, 77:01:0006036:2598, 77:01:0006036:2599, 77:01:0006036:2600. Истец в соответствии с Предварительным договором купли-продажи недвижимости № Н-33319 от ДД.ММ.ГГГГ в качестве обеспечительного платежа выплатил Истцу денежные средства в размере 4 624 970 рублей 88 копеек. Согласно пункту 2.6 Договора вышеуказанный обеспечительный платеж был зачтен в качестве платы по Договору и задолженность Истца перед Ответчиком по пункту 2.1 Договора считалась полностью погашенной. Обеспечительный платеж был внесен тремя частями 100 000 рублей залога, 3 100 000 рублей в счет обеспечительного платежа (чек ордер № от ДД.ММ.ГГГГ) и 1 424 970 рублей 88 коп. за счет заемных средств Акционерного коммерческого банка «Абсолют Банк» (публичное акционерное общество) по кредитному договору №/ПДКП/А/19-И от ДД.ММ.ГГГГ. Заемные средства были переведены на счет ООО «Реновация» по поручению на перевод денежных средств в рублях № от ДД.ММ.ГГГГ. В соответствии с пунктом 4.1 Договора Ответчик обязался передать Истцу Недвижимое имущество в срок не позднее ДД.ММ.ГГГГ. Фактически Недвижимое имущество было передано мне Ответчиком ДД.ММ.ГГГГ, что подтверждается актом приема-передачи от ДД.ММ.ГГГГ к договору купли-продажи нежилого помещения №Н-33319 от ДД.ММ.ГГГГ. На основании вышеизложенного просит суд взыскать с Ответчика 1 575 000 рублей, из которых 1 000 000 рублей - неустойка за нарушение срока передачи недвижимого имущества; 50 000 рублей компенсация морального вреда; 525 000 рублей – штраф.</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судебное заседание истец не явился, представитель истца поддержал требования доверителя по основаниям, указанным в иске.</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Представитель ответчика в зал суда не явился, предоставил отзыв на иск, в поступившем отзыве просил о рассмотрении дела без его участия.</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Выслушав представителя истца, изучив материалы дела и оценив доказательства, суд приходит к следующим выводам.</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Частью 1 статьи 56 ГПК РФ Гражданского процессуального кодекса Российской Федерации (далее – ГПК РФ) установлено, что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 Согласно п. 1 ст. 1 Гражданского кодекса Российской Федерации (далее - ГК РФ) гражданское законодательство основывается на признании равенства участников регулируемых им отношений, неприкосновенности собственности,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силу статьи 487 ГК РФ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статьей 314 ГК РФ.</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соответствии с пунктом 1 статьи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соответствии с пунктом 1 статьи 549 ГК РФ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пункту 1 статьи 556 ГК РФ 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Судом установлено, что ДД.ММ.ГГГГ между истцом и ответчиком – ООО «Реновация» с другой стороны был заключен договор купли-продажи недвижимого имущества №    Н 33319, зарегистрированный управлением Федеральной службы государственной регистрации, кадастра и картографии по &lt;адрес&gt; ДД.ММ.ГГГГ, согласно которому Ответчик обязался передать Истцу в собственность, а Истец обязался принять в собственность и оплатить недвижимое имущество, находящееся в здании по адресу &lt;адрес&gt;, стр. 3, общей площадью 19,5 кв.м, этаж 3, комната 319, кадастровый № (далее - Помещение), а также по 17/10 000 долей в праве общей собственности мест общего пользования на нежилые помещения, расположенные по адресу &lt;адрес&gt;, стр. 3.</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lastRenderedPageBreak/>
        <w:t>В соответствии с пунктом 2.1 Договора стоимость Недвижимого имущества определена в сумме 4 624 970 рублей 88 копеек. Согласно пункту 2.3 Договора Истец в соответствии с Предварительным договором купли-продажи недвижимости № Н-33319 от ДД.ММ.ГГГГ в качестве обеспечительного платежа выплатил Истцу денежные средства в размере 4 624 970 рублей 88 копеек. Согласно пункту 2.6 Договора вышеуказанный обеспечительный платеж был зачтен в качестве платы по Договору и задолженность Истца перед Ответчиком по пункту 2.1 Договора считалась полностью погашенной. Обеспечительный платеж был внесен тремя частями 100 000 рублей залога, 3 100 000 рублей в счет обеспечительного платежа (чек ордер № от ДД.ММ.ГГГГ и 1 424 970 рублей 88 коп. за счет заемных средств Акционерного коммерческого банка «Абсолют Банк» (публичное акционерное общество) по кредитному договору №/ПДКП/А/19-И от ДД.ММ.ГГГГ. Заемные средства были переведены на счет ООО «Реновация» по поручению на перевод денежных средств в рублях № от ДД.ММ.ГГГГ.</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Как установлено статьей 457 ГК РФ срок исполнения продавцом обязанности передать товар покупателю определяется договором купли-продажи.</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соответствии с пунктом 4.1 Договора Ответчик обязался передать Истцу Недвижимое имущество в срок не позднее ДД.ММ.ГГГГ.</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Фактически Недвижимое имущество было передано Истцу Ответчиком ДД.ММ.ГГГГ, что подтверждается актом приема-передачи от ДД.ММ.ГГГГ к договору купли-продажи нежилого помещения №Н-33319 от ДД.ММ.ГГГГ.</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Таким образом, Ответчик нарушил срок передачи Недвижимого имущества Истцу, предусмотренный пунктом 4.1 Договора.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Давая оценку доводам ответчика о том, что ДД.ММ.ГГГГ во исполнение принятых на себя обязательств Продавец (ответчик) направил в адрес Покупателя (истец)уведомление о готовности Продавца передать Недвижимость, а Покупатель в установленный п. 4.1 ДКПН срок для подписания Акта приёма-передачи Недвижимости не явился, к продавцу с требованием о передаче недвижимости в установленный договором срок отдельно не обращался, суд признает их недостоверными, поскольку согласно Ордеру на проведение работ №, выданному ДД.ММ.ГГГГ Правительством Москвы ООО «Реновация», Ответчиком на дату выдачи Ордера продолжались работы по реконструкции здания по адресу: &lt;адрес&gt;, Нижегородская ул.32 стр.3, поэтому помещение Истцу не могло быть передано ДД.ММ.ГГГГ в связи с его неготовностью.</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При этом в обоснование доводов о готовности Помещения Ответчик указавает на письмо, направленное Истцу ДД.ММ.ГГГГ.</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пункту 4.1 Договора уведомление о готовности объекта должно быть направлено: заказным письмом, телеграммой, по электронной почте, указанной в Договоре. Согласно пункту 8.4 Договора датой получения заказной корреспонденции, направленной рамках Договора, является дата, указанная в уведомлении о вручении письма адресату. Таким образом, не получив уведомления о вручении письма адресату Ответчик в рамках Договора должен был направить это уведомление другим предусмотренным Договором способом, однако доказательств тому, что Ответчик добросовестно исполнил данные договорные обязанности, он в суд не представил.</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статье 10 Гражданского кодекса участники гражданских правоотношений должны действовать добросовестно. Ответчик не исполнил добросовестно своих обязанностей по своевременному исполнению Договора. Доказательств обратного суду не представлено.</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обоснование своего возражения Ответчиком указано, что Истцом ДД.ММ.ГГГГ зарегистрировано право собственности на Помещение.</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пункту 3.1.1 Договора Ответчик принял на себя обязанность в течение 20 рабочих дней со дня заключения Договора подать документы в регистрирующие органы для регистрации право собственности Истца на Помещение.</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При этом согласно пунктам 1.3, 4.1 Помещение, имеющее в своём составе все необходимые элементы, предусмотренные Договором, должно было быть передано Ответчиком Истцу в срок до ДД.ММ.ГГГГ. Таким образом Договор изначально предполагал, что переход права собственности на Помещение не означает его исполнения, а, следовательно, и исполнения    Ответчиком    своих    обязательств    перед    Истцом    относительно Помещения. Поэтому факт регистрации ДД.ММ.ГГГГ права собственности Истца на Помещение не доказывает своевременного исполнения Ответчиком обязательств, предусмотренных Договором.</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отзыву Ответчика Истцом заключен Договор купли-продажи нежилого помещения, при этом доказательств, что данный объект приобретен для личных, семейных нужд, не связанных с осуществлением предпринимательской деятельности, не представлено, а, следовательно, рассматриваемый Договор, заключенный сторонами, нельзя квалифицировать как потребительский договор. Здание с адресным ориентиром «&lt;адрес&gt;, вл.32. стр.3» расположено на земельном участке кадастровый №. категория земель: Земли населенных пунктов, вид разрешенного использования: объекты размещения коммерческих организаций, не связанных с проживанием населения. Таким образом, правоотношения сторон регулируются общими нормами ГК РФ о предварительном договоре, но случае Закон РФ от ДД.ММ.ГГГГ № «О защите прав потребителей» не подлежит применению. Следовательно, неустойка, предусмотренная п. 3 ст. 23.1 Закона о защите прав потребителей, а также штраф, предусмотренный пунктом 6 ст. 13 Закона о защите прав потребителей, не может быть взыскан с Ответчика.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Суд не может согласить с указанной позицией Ответчика, поскольку доказательств тому, что помещение (апартаменты) приобретены Истцом с коммерческой целью, а не для личного проживания (иных целях, например для занятий творчеством) суду не предоставлено. При этом практика Верховного Суда Российской Федерации о необходимости применения Закона № в делах с участием граждан при оспаривании просрочек передачи им апартаментов, выполнения работ в апартаментах сформировалась (Определение Верховного Суда Российской Федерации от ДД.ММ.ГГГГ №-КГ21-5-К2, а также пункт 14 обзора судебной практики по делам о защите прав потребителей, утвержденный Президиумом Верховного Суда Российской Федерации от 20.10 2021). Согласно части четвертой. 1 статьи 198 ГПК в мотивировочной части решения суда могут содержаться ссылки на постановления Президиума Верховного Суда Российской Федерации, а также на обзоры судебной практики Верховного Суда Российской Федерации, утвержденные Президиумом Верховного Суда Российской Федерации.</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Вид разрешенного использования земельного участка, на котором располагается здание, в котором находится спорное Помещение, согласно постановлению Правительства Москвы от ДД.ММ.ГГГГ №-пп «О внесении изменений в постановление Правительства Москвы от ДД.ММ.ГГГГ №-пп» - размещение гостиниц.</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Гостиницы предполагают возможность постоянного нахождения там граждан.</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 xml:space="preserve">Согласно статье 34 Конституции Российской Федерации занятие предпринимательской деятельностью является свободным, то есть нельзя понудить гражданина к занятию ею. Равно как заключение договора купли-продажи Помещения не может означать, что Истец не вправе его использовать для собственных нужд без занятия </w:t>
      </w:r>
      <w:r w:rsidRPr="00E1287B">
        <w:rPr>
          <w:rFonts w:ascii="Arial" w:eastAsia="Times New Roman" w:hAnsi="Arial" w:cs="Arial"/>
          <w:color w:val="000000"/>
          <w:sz w:val="17"/>
          <w:szCs w:val="17"/>
          <w:lang w:eastAsia="ru-RU"/>
        </w:rPr>
        <w:lastRenderedPageBreak/>
        <w:t>предпринимательской деятельностью. Иное бы означало ограничение правоспособности Истца на основании договора, что недопустимо согласно конституционным принципам и принципам гражданского права. Заключение Договора, в котором не указаны цели использования Помещения, не может свидетельствовать о том, что Истец должен использовать его для коммерческих нужд.</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соответствии с п. 65 Постановления Пленума Верховного Суда РФ от ДД.ММ.ГГГГ N 7 (ред. от ДД.ММ.ГГГГ) «О применении судами некоторых положений Гражданского кодекса Российской Федерации об ответственности за нарушение обязательств», по смыслу статьи 330 ГК РФ, истец вправе требовать присуждения неустойки по день фактического исполнения обязательства (в частности, фактической уплаты кредитору денежных средств, передачи товара, завершения работ).</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отзыву на иск, Ответчиком, фактически не согласившимся с требованиями Истца, заявлено о несоразмерности неустойки в 1 000 000 рублей.</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соответствии со ст.330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Согласно статье 333 ГК РФ суд вправе уменьшить неустойку, если подлежащая уплате неустойка явно несоразмерна последствиям нарушения обязательства.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 учетом позиции Конституционного Суда Российской Федерации, выраженной в пункте 2 Определения от ДД.ММ.ГГГГ N 263-0, положения пункта 1 статьи 333 ГК РФ содержат обязанность суда установить баланс между применяемой к нарушителю мерой ответственности и оценкой действительного, а не возможного размера ущерба.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Как указано в п. 42 совместного Постановления Пленума Верховного Суда Российской Федерации N 6, Пленума ВАС Российской Федерации N 8 от ДД.ММ.ГГГГ "О некоторых вопросах, связанных с применением части первой Гражданского кодекса Российской Федерации", критериями для установления несоразмерности в каждом конкретном случае могут быть: чрезмерно высокий процент неустойки, значительное превышение суммы неустойки суммы возможных убытков, вызванных нарушением обязательств, длительность неисполнения обязательств, установленных причин нарушения сроков передачи объекта истцам и др.</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Исходя из смысла приведенных выше правовых норм и разъяснений, а также принципа осуществления гражданских прав своей волей и в своем интересе (статья 1 ГК РФ), размер неустойки может быть снижен судом на основании статьи 333 ГК РФ по заявлению ответчика.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 на реализацию требования статьи 17 (часть 3) Конституции Российской Федерации, согласно которой осуществление прав и свобод человека и гражданина не должно нарушать права и свободы других лиц. Именно поэтому в ст. 333 ГК РФ речь идет, по существу, об обязанности суда установить баланс между применяемой к нарушителю мерой ответственности и оценкой действительного (а не возможного) размера ущерба.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Ответчик в своих возражениях заявил ходатайство о снижении суммы неустойки и штрафа на основании ст. 333 ГК РФ, в связи с чем суд считает возможным взыскать с ответчика в пользу истца неустойку за нарушение сроков передачи имущества по договору за период с ДД.ММ.ГГГГ по ДД.ММ.ГГГГ в размере 363 090,20 рублей, исходя из процентной ставки по кредитным и депозитным операциям, и снизить штраф до 181545 рублей, что будет соответствовать принципам соразмерности и справедливости из расчета неустойки:</w:t>
      </w:r>
    </w:p>
    <w:tbl>
      <w:tblPr>
        <w:tblW w:w="0" w:type="auto"/>
        <w:jc w:val="center"/>
        <w:shd w:val="clear" w:color="auto" w:fill="FFFFFF"/>
        <w:tblCellMar>
          <w:left w:w="0" w:type="dxa"/>
          <w:right w:w="0" w:type="dxa"/>
        </w:tblCellMar>
        <w:tblLook w:val="04A0" w:firstRow="1" w:lastRow="0" w:firstColumn="1" w:lastColumn="0" w:noHBand="0" w:noVBand="1"/>
      </w:tblPr>
      <w:tblGrid>
        <w:gridCol w:w="491"/>
        <w:gridCol w:w="1748"/>
        <w:gridCol w:w="1149"/>
        <w:gridCol w:w="1149"/>
        <w:gridCol w:w="456"/>
        <w:gridCol w:w="2385"/>
        <w:gridCol w:w="863"/>
        <w:gridCol w:w="1286"/>
      </w:tblGrid>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 пп</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ЗадолженностьРуб.</w:t>
            </w:r>
          </w:p>
        </w:tc>
        <w:tc>
          <w:tcPr>
            <w:tcW w:w="0" w:type="auto"/>
            <w:gridSpan w:val="2"/>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Период просрочки</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ДН</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ставки покредитам врублях, % годовых</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Дней вгоду</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Проценты Руб.</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(2)</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(1)*(4)*(5)/(6)</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54 059</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2</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30</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13,77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52 201,5</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13,41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52 554</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13,51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53 091</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28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13,55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48 074,4</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31</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13,04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51221,9</w:t>
            </w:r>
          </w:p>
        </w:tc>
      </w:tr>
      <w:tr w:rsidR="00E1287B" w:rsidRPr="00E1287B" w:rsidTr="00E1287B">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4 624 970,88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30</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13,65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51888,4</w:t>
            </w:r>
          </w:p>
        </w:tc>
      </w:tr>
      <w:tr w:rsidR="00E1287B" w:rsidRPr="00E1287B" w:rsidTr="00E1287B">
        <w:trPr>
          <w:jc w:val="center"/>
        </w:trPr>
        <w:tc>
          <w:tcPr>
            <w:tcW w:w="0" w:type="auto"/>
            <w:gridSpan w:val="4"/>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ИТОГО:</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212</w:t>
            </w:r>
          </w:p>
        </w:tc>
        <w:tc>
          <w:tcPr>
            <w:tcW w:w="0" w:type="auto"/>
            <w:gridSpan w:val="2"/>
            <w:tcBorders>
              <w:top w:val="nil"/>
              <w:left w:val="nil"/>
              <w:bottom w:val="nil"/>
              <w:right w:val="nil"/>
            </w:tcBorders>
            <w:shd w:val="clear" w:color="auto" w:fill="FFFFFF"/>
            <w:tcMar>
              <w:top w:w="86" w:type="dxa"/>
              <w:left w:w="86" w:type="dxa"/>
              <w:bottom w:w="86" w:type="dxa"/>
              <w:right w:w="86" w:type="dxa"/>
            </w:tcMar>
            <w:vAlign w:val="center"/>
            <w:hideMark/>
          </w:tcPr>
          <w:p w:rsidR="00E1287B" w:rsidRPr="00E1287B" w:rsidRDefault="00E1287B" w:rsidP="00E1287B">
            <w:pPr>
              <w:spacing w:after="0" w:line="240" w:lineRule="auto"/>
              <w:rPr>
                <w:rFonts w:ascii="Arial" w:eastAsia="Times New Roman" w:hAnsi="Arial" w:cs="Arial"/>
                <w:color w:val="555555"/>
                <w:sz w:val="17"/>
                <w:szCs w:val="17"/>
                <w:lang w:eastAsia="ru-RU"/>
              </w:rPr>
            </w:pPr>
            <w:r w:rsidRPr="00E1287B">
              <w:rPr>
                <w:rFonts w:ascii="Arial" w:eastAsia="Times New Roman" w:hAnsi="Arial" w:cs="Arial"/>
                <w:color w:val="555555"/>
                <w:sz w:val="17"/>
                <w:szCs w:val="17"/>
                <w:lang w:eastAsia="ru-RU"/>
              </w:rPr>
              <w:t>363 090,20</w:t>
            </w:r>
          </w:p>
        </w:tc>
        <w:tc>
          <w:tcPr>
            <w:tcW w:w="0" w:type="auto"/>
            <w:shd w:val="clear" w:color="auto" w:fill="FFFFFF"/>
            <w:vAlign w:val="center"/>
            <w:hideMark/>
          </w:tcPr>
          <w:p w:rsidR="00E1287B" w:rsidRPr="00E1287B" w:rsidRDefault="00E1287B" w:rsidP="00E1287B">
            <w:pPr>
              <w:spacing w:after="0" w:line="240" w:lineRule="auto"/>
              <w:rPr>
                <w:rFonts w:ascii="Times New Roman" w:eastAsia="Times New Roman" w:hAnsi="Times New Roman" w:cs="Times New Roman"/>
                <w:sz w:val="20"/>
                <w:szCs w:val="20"/>
                <w:lang w:eastAsia="ru-RU"/>
              </w:rPr>
            </w:pPr>
          </w:p>
        </w:tc>
      </w:tr>
    </w:tbl>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Поэтому к возникшим правоотношениям подлежит применению Закон РФ от ДД.ММ.ГГГГ № «О защите прав потребителей», согласно которому,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(статья 15).</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соответствии со ст. ст. 151, 1101 ГК РФ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а также учитывает требования разумности и справедливости.</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Размер компенсации морального вреда заявлен истцом 50 000 рублей.</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Суд, руководствуясь ст. 15 Закона о защите прав потребителей, находит правомерными требования истца о взыскании ответчика компенсации морального вреда. При определении подлежащему взысканию размеру компенсации морального вреда, суд, руководствуясь принципами разумности и справедливости, принимает во внимание обстоятельства дела, причины возникших нарушений прав истца, находит его разумным в размере 10000 рублей.</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lastRenderedPageBreak/>
        <w:t>    В соответствии со ст. 103 ГПК РФ, поскольку истец в силу закона освобожден от уплаты госпошлины, с ответчика подлежит взысканию в бюджет городского округа государственная пошлина 8646,35 рублей.</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    Руководствуясь ст.ст. 194-198 ГПК РФ, суд</w:t>
      </w:r>
    </w:p>
    <w:p w:rsidR="00E1287B" w:rsidRPr="00E1287B" w:rsidRDefault="00E1287B" w:rsidP="00E1287B">
      <w:pPr>
        <w:shd w:val="clear" w:color="auto" w:fill="FFFFFF"/>
        <w:spacing w:after="0" w:line="240" w:lineRule="auto"/>
        <w:ind w:firstLine="720"/>
        <w:jc w:val="center"/>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РЕШИЛ:</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Исковые требования ФИО1 к Обществу с ограниченной ответственностью «Реновация» удовлетворить частично.</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Взыскать с Общества с ограниченной ответственностью «Реновация» в пользу ФИО1 неустойки в размере 363 090 рублей 20 копеек, штраф в размере 181 545 рублей 10 копеек, компенсацию морального вреда 10 000 рублей 00 копеек.</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В остальной части требований – отказать.</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    Взыскать с Общества с ограниченной ответственностью «Реновация» в доход бюджета муниципального образования «&lt;адрес&gt; «&lt;адрес&gt;» государственную пошлину в размере 8646 рублей 35 копеек</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Решение может быть обжаловано в апелляционном порядке в &lt;адрес&gt;вой суд в течение месяца, со дня изготовления в окончательной форме, через суд его вынесший.</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Судья                                                               Т.А.Цурикова</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Решение в мотивированном виде изготовлено ДД.ММ.ГГГГ.</w:t>
      </w:r>
    </w:p>
    <w:p w:rsidR="00E1287B" w:rsidRPr="00E1287B" w:rsidRDefault="00E1287B" w:rsidP="00E1287B">
      <w:pPr>
        <w:shd w:val="clear" w:color="auto" w:fill="FFFFFF"/>
        <w:spacing w:after="0" w:line="240" w:lineRule="auto"/>
        <w:ind w:firstLine="720"/>
        <w:jc w:val="both"/>
        <w:rPr>
          <w:rFonts w:ascii="Arial" w:eastAsia="Times New Roman" w:hAnsi="Arial" w:cs="Arial"/>
          <w:color w:val="000000"/>
          <w:sz w:val="17"/>
          <w:szCs w:val="17"/>
          <w:lang w:eastAsia="ru-RU"/>
        </w:rPr>
      </w:pPr>
      <w:r w:rsidRPr="00E1287B">
        <w:rPr>
          <w:rFonts w:ascii="Arial" w:eastAsia="Times New Roman" w:hAnsi="Arial" w:cs="Arial"/>
          <w:color w:val="000000"/>
          <w:sz w:val="17"/>
          <w:szCs w:val="17"/>
          <w:lang w:eastAsia="ru-RU"/>
        </w:rPr>
        <w:t>Судья                                                                        Т.А.Цурикова</w:t>
      </w:r>
    </w:p>
    <w:p w:rsidR="00FE7136" w:rsidRDefault="00E1287B">
      <w:bookmarkStart w:id="0" w:name="_GoBack"/>
      <w:bookmarkEnd w:id="0"/>
    </w:p>
    <w:sectPr w:rsidR="00FE7136" w:rsidSect="00465F00">
      <w:pgSz w:w="11906" w:h="16838"/>
      <w:pgMar w:top="1134" w:right="850"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02D"/>
    <w:rsid w:val="0007402D"/>
    <w:rsid w:val="00303542"/>
    <w:rsid w:val="004442B8"/>
    <w:rsid w:val="00465F00"/>
    <w:rsid w:val="00C5011C"/>
    <w:rsid w:val="00E12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00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2988</Words>
  <Characters>17038</Characters>
  <Application>Microsoft Office Word</Application>
  <DocSecurity>0</DocSecurity>
  <Lines>141</Lines>
  <Paragraphs>39</Paragraphs>
  <ScaleCrop>false</ScaleCrop>
  <Company/>
  <LinksUpToDate>false</LinksUpToDate>
  <CharactersWithSpaces>19987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Владиславовна Курдюкова</dc:creator>
  <cp:keywords/>
  <dc:description/>
  <cp:lastModifiedBy>Галина Владиславовна Курдюкова</cp:lastModifiedBy>
  <cp:revision>3</cp:revision>
  <dcterms:created xsi:type="dcterms:W3CDTF">2022-11-22T02:34:00Z</dcterms:created>
  <dcterms:modified xsi:type="dcterms:W3CDTF">2022-11-22T02:35:00Z</dcterms:modified>
</cp:coreProperties>
</file>